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650D" w14:textId="77777777" w:rsidR="00F42C10" w:rsidRPr="00ED1860" w:rsidRDefault="00F42C10" w:rsidP="00F42C10">
      <w:pPr>
        <w:spacing w:after="0"/>
        <w:rPr>
          <w:rFonts w:ascii="Times New Roman" w:eastAsiaTheme="minorEastAsia" w:hAnsi="Times New Roman" w:cs="Times New Roman"/>
          <w:b/>
          <w:sz w:val="24"/>
          <w:lang w:eastAsia="hr-HR"/>
        </w:rPr>
      </w:pPr>
      <w:r w:rsidRPr="00ED1860">
        <w:rPr>
          <w:rFonts w:ascii="Times New Roman" w:eastAsiaTheme="minorEastAsia" w:hAnsi="Times New Roman" w:cs="Times New Roman"/>
          <w:b/>
          <w:sz w:val="24"/>
          <w:lang w:eastAsia="hr-HR"/>
        </w:rPr>
        <w:t>NARODNA KNJIŽNICA I ČITAONICA GUNJA</w:t>
      </w:r>
    </w:p>
    <w:p w14:paraId="0CB885BB" w14:textId="77777777" w:rsidR="00F42C10" w:rsidRPr="00ED1860" w:rsidRDefault="00F42C10" w:rsidP="00F42C10">
      <w:pPr>
        <w:spacing w:after="0"/>
        <w:rPr>
          <w:rFonts w:ascii="Times New Roman" w:eastAsiaTheme="minorEastAsia" w:hAnsi="Times New Roman" w:cs="Times New Roman"/>
          <w:sz w:val="24"/>
          <w:lang w:eastAsia="hr-HR"/>
        </w:rPr>
      </w:pPr>
      <w:r w:rsidRPr="00ED1860">
        <w:rPr>
          <w:rFonts w:ascii="Times New Roman" w:eastAsiaTheme="minorEastAsia" w:hAnsi="Times New Roman" w:cs="Times New Roman"/>
          <w:sz w:val="24"/>
          <w:lang w:eastAsia="hr-HR"/>
        </w:rPr>
        <w:t>Ulica Vladimira Nazora 113</w:t>
      </w:r>
    </w:p>
    <w:p w14:paraId="1DEF20E4" w14:textId="77777777" w:rsidR="00F42C10" w:rsidRPr="00ED1860" w:rsidRDefault="00F42C10" w:rsidP="00F42C10">
      <w:pPr>
        <w:spacing w:after="0"/>
        <w:rPr>
          <w:rFonts w:ascii="Times New Roman" w:eastAsiaTheme="minorEastAsia" w:hAnsi="Times New Roman" w:cs="Times New Roman"/>
          <w:sz w:val="24"/>
          <w:lang w:eastAsia="hr-HR"/>
        </w:rPr>
      </w:pPr>
      <w:r w:rsidRPr="00ED1860">
        <w:rPr>
          <w:rFonts w:ascii="Times New Roman" w:eastAsiaTheme="minorEastAsia" w:hAnsi="Times New Roman" w:cs="Times New Roman"/>
          <w:sz w:val="24"/>
          <w:lang w:eastAsia="hr-HR"/>
        </w:rPr>
        <w:t>32260 Gunja</w:t>
      </w:r>
    </w:p>
    <w:p w14:paraId="79CD8904" w14:textId="77777777" w:rsidR="00F42C10" w:rsidRPr="00ED1860" w:rsidRDefault="00F42C10" w:rsidP="00F42C10">
      <w:pPr>
        <w:spacing w:after="0"/>
        <w:rPr>
          <w:rFonts w:ascii="Times New Roman" w:eastAsiaTheme="minorEastAsia" w:hAnsi="Times New Roman" w:cs="Times New Roman"/>
          <w:sz w:val="24"/>
          <w:lang w:eastAsia="hr-HR"/>
        </w:rPr>
      </w:pPr>
      <w:r w:rsidRPr="00ED1860">
        <w:rPr>
          <w:rFonts w:ascii="Times New Roman" w:eastAsiaTheme="minorEastAsia" w:hAnsi="Times New Roman" w:cs="Times New Roman"/>
          <w:sz w:val="24"/>
          <w:lang w:eastAsia="hr-HR"/>
        </w:rPr>
        <w:t xml:space="preserve">Žiro </w:t>
      </w:r>
      <w:proofErr w:type="spellStart"/>
      <w:r w:rsidRPr="00ED1860">
        <w:rPr>
          <w:rFonts w:ascii="Times New Roman" w:eastAsiaTheme="minorEastAsia" w:hAnsi="Times New Roman" w:cs="Times New Roman"/>
          <w:sz w:val="24"/>
          <w:lang w:eastAsia="hr-HR"/>
        </w:rPr>
        <w:t>rn</w:t>
      </w:r>
      <w:proofErr w:type="spellEnd"/>
      <w:r w:rsidRPr="00ED1860">
        <w:rPr>
          <w:rFonts w:ascii="Times New Roman" w:eastAsiaTheme="minorEastAsia" w:hAnsi="Times New Roman" w:cs="Times New Roman"/>
          <w:sz w:val="24"/>
          <w:lang w:eastAsia="hr-HR"/>
        </w:rPr>
        <w:t>:</w:t>
      </w:r>
      <w:r>
        <w:rPr>
          <w:rFonts w:ascii="Times New Roman" w:eastAsiaTheme="minorEastAsia" w:hAnsi="Times New Roman" w:cs="Times New Roman"/>
          <w:sz w:val="24"/>
          <w:lang w:eastAsia="hr-HR"/>
        </w:rPr>
        <w:t xml:space="preserve"> </w:t>
      </w:r>
      <w:r w:rsidRPr="00ED1860">
        <w:rPr>
          <w:rFonts w:ascii="Times New Roman" w:eastAsiaTheme="minorEastAsia" w:hAnsi="Times New Roman" w:cs="Times New Roman"/>
          <w:sz w:val="24"/>
          <w:lang w:eastAsia="hr-HR"/>
        </w:rPr>
        <w:t>HR912360000110276191</w:t>
      </w:r>
    </w:p>
    <w:p w14:paraId="5D0E5583" w14:textId="77777777" w:rsidR="00F42C10" w:rsidRPr="00ED1860" w:rsidRDefault="00F42C10" w:rsidP="00F42C10">
      <w:pPr>
        <w:spacing w:after="0"/>
        <w:rPr>
          <w:rFonts w:ascii="Times New Roman" w:eastAsiaTheme="minorEastAsia" w:hAnsi="Times New Roman" w:cs="Times New Roman"/>
          <w:sz w:val="24"/>
          <w:lang w:eastAsia="hr-HR"/>
        </w:rPr>
      </w:pPr>
      <w:r w:rsidRPr="00ED1860">
        <w:rPr>
          <w:rFonts w:ascii="Times New Roman" w:eastAsiaTheme="minorEastAsia" w:hAnsi="Times New Roman" w:cs="Times New Roman"/>
          <w:sz w:val="24"/>
          <w:lang w:eastAsia="hr-HR"/>
        </w:rPr>
        <w:t>OIB: 07902344651</w:t>
      </w:r>
    </w:p>
    <w:p w14:paraId="09F3748F" w14:textId="77777777" w:rsidR="00F42C10" w:rsidRPr="00ED1860" w:rsidRDefault="00F42C10" w:rsidP="00F42C10">
      <w:pPr>
        <w:spacing w:after="0"/>
        <w:rPr>
          <w:rFonts w:ascii="Times New Roman" w:eastAsiaTheme="minorEastAsia" w:hAnsi="Times New Roman" w:cs="Times New Roman"/>
          <w:sz w:val="24"/>
          <w:lang w:eastAsia="hr-HR"/>
        </w:rPr>
      </w:pPr>
      <w:r w:rsidRPr="00ED1860">
        <w:rPr>
          <w:rFonts w:ascii="Times New Roman" w:eastAsiaTheme="minorEastAsia" w:hAnsi="Times New Roman" w:cs="Times New Roman"/>
          <w:sz w:val="24"/>
          <w:lang w:eastAsia="hr-HR"/>
        </w:rPr>
        <w:t>Tel.: 032/534-912</w:t>
      </w:r>
    </w:p>
    <w:p w14:paraId="2A0621AB" w14:textId="26202C6F" w:rsidR="002D408D" w:rsidRDefault="00F42C10" w:rsidP="00F42C10">
      <w:pPr>
        <w:spacing w:after="0"/>
        <w:rPr>
          <w:rFonts w:ascii="Times New Roman" w:eastAsiaTheme="minorEastAsia" w:hAnsi="Times New Roman" w:cs="Times New Roman"/>
          <w:sz w:val="24"/>
          <w:lang w:eastAsia="hr-HR"/>
        </w:rPr>
      </w:pPr>
      <w:r w:rsidRPr="00ED1860">
        <w:rPr>
          <w:rFonts w:ascii="Times New Roman" w:eastAsiaTheme="minorEastAsia" w:hAnsi="Times New Roman" w:cs="Times New Roman"/>
          <w:sz w:val="24"/>
          <w:lang w:eastAsia="hr-HR"/>
        </w:rPr>
        <w:t xml:space="preserve">Web adresa: </w:t>
      </w:r>
      <w:hyperlink r:id="rId8" w:history="1">
        <w:r w:rsidR="002D408D" w:rsidRPr="005456AB">
          <w:rPr>
            <w:rStyle w:val="Hiperveza"/>
            <w:rFonts w:ascii="Times New Roman" w:eastAsiaTheme="minorEastAsia" w:hAnsi="Times New Roman" w:cs="Times New Roman"/>
            <w:sz w:val="24"/>
            <w:lang w:eastAsia="hr-HR"/>
          </w:rPr>
          <w:t>http://knjiznice.nsk.hr/gunja</w:t>
        </w:r>
      </w:hyperlink>
    </w:p>
    <w:p w14:paraId="24CADB0B" w14:textId="0C96457D" w:rsidR="00F42C10" w:rsidRPr="00B1276A" w:rsidRDefault="00D001DD" w:rsidP="00F42C10">
      <w:pPr>
        <w:spacing w:after="0"/>
        <w:rPr>
          <w:rFonts w:ascii="Times New Roman" w:eastAsiaTheme="minorEastAsia" w:hAnsi="Times New Roman" w:cs="Times New Roman"/>
          <w:sz w:val="24"/>
          <w:lang w:eastAsia="hr-HR"/>
        </w:rPr>
      </w:pPr>
      <w:r w:rsidRPr="00D001DD">
        <w:rPr>
          <w:rFonts w:ascii="Times New Roman" w:eastAsiaTheme="minorEastAsia" w:hAnsi="Times New Roman" w:cs="Times New Roman"/>
          <w:sz w:val="24"/>
          <w:lang w:eastAsia="hr-HR"/>
        </w:rPr>
        <w:t>Web:</w:t>
      </w:r>
      <w:r>
        <w:rPr>
          <w:rFonts w:ascii="Times New Roman" w:eastAsiaTheme="minorEastAsia" w:hAnsi="Times New Roman" w:cs="Times New Roman"/>
          <w:color w:val="0000FF"/>
          <w:sz w:val="24"/>
          <w:u w:val="single"/>
          <w:lang w:eastAsia="hr-HR"/>
        </w:rPr>
        <w:t xml:space="preserve"> </w:t>
      </w:r>
      <w:r w:rsidR="00F42C10" w:rsidRPr="00ED1860">
        <w:rPr>
          <w:rFonts w:ascii="Times New Roman" w:eastAsiaTheme="minorEastAsia" w:hAnsi="Times New Roman" w:cs="Times New Roman"/>
          <w:color w:val="0000FF"/>
          <w:sz w:val="24"/>
          <w:u w:val="single"/>
          <w:lang w:eastAsia="hr-HR"/>
        </w:rPr>
        <w:t xml:space="preserve">narodnaknjiznica.gunja@gmail.com </w:t>
      </w:r>
    </w:p>
    <w:p w14:paraId="0DB86BB3" w14:textId="77777777" w:rsidR="00170E74" w:rsidRDefault="00170E74" w:rsidP="00170E74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0650803B" w14:textId="3B97BDF2" w:rsidR="00170E74" w:rsidRDefault="0078299C" w:rsidP="00D00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AF252" w14:textId="77777777" w:rsidR="00D001DD" w:rsidRDefault="00D001DD" w:rsidP="00D00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KLASA:402-05/23-01-2</w:t>
      </w:r>
    </w:p>
    <w:p w14:paraId="4DA1E6FC" w14:textId="54257033" w:rsidR="00D001DD" w:rsidRPr="00170E74" w:rsidRDefault="00D001DD" w:rsidP="00D00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2196-14-04-1-1</w:t>
      </w:r>
    </w:p>
    <w:p w14:paraId="05983812" w14:textId="04ABF6BD" w:rsidR="00170E74" w:rsidRPr="00D001DD" w:rsidRDefault="004C692C" w:rsidP="00D001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Gunji</w:t>
      </w:r>
      <w:proofErr w:type="spellEnd"/>
      <w:r>
        <w:rPr>
          <w:rFonts w:ascii="Times New Roman" w:hAnsi="Times New Roman" w:cs="Times New Roman"/>
          <w:sz w:val="24"/>
        </w:rPr>
        <w:t>, 02</w:t>
      </w:r>
      <w:r w:rsidR="00EA690B" w:rsidRPr="003654C0">
        <w:rPr>
          <w:rFonts w:ascii="Times New Roman" w:hAnsi="Times New Roman" w:cs="Times New Roman"/>
          <w:sz w:val="24"/>
        </w:rPr>
        <w:t xml:space="preserve">. listopada </w:t>
      </w:r>
      <w:r>
        <w:rPr>
          <w:rFonts w:ascii="Times New Roman" w:hAnsi="Times New Roman" w:cs="Times New Roman"/>
          <w:sz w:val="24"/>
        </w:rPr>
        <w:t>2023</w:t>
      </w:r>
      <w:r w:rsidR="00170E74" w:rsidRPr="003654C0">
        <w:rPr>
          <w:rFonts w:ascii="Times New Roman" w:hAnsi="Times New Roman" w:cs="Times New Roman"/>
          <w:sz w:val="24"/>
        </w:rPr>
        <w:t>. godine</w:t>
      </w:r>
    </w:p>
    <w:p w14:paraId="3BABBB65" w14:textId="77777777" w:rsidR="00170E74" w:rsidRDefault="00170E74" w:rsidP="00D001DD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4640D5A7" w14:textId="77777777" w:rsidR="00170E74" w:rsidRDefault="00170E74" w:rsidP="00D001DD">
      <w:pPr>
        <w:pStyle w:val="Standard"/>
        <w:spacing w:line="36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OPĆINA GUNJA</w:t>
      </w:r>
    </w:p>
    <w:p w14:paraId="405137D7" w14:textId="77777777" w:rsidR="00170E74" w:rsidRDefault="00170E74" w:rsidP="00D001DD">
      <w:pPr>
        <w:pStyle w:val="Odlomakpopisa"/>
        <w:numPr>
          <w:ilvl w:val="0"/>
          <w:numId w:val="15"/>
        </w:numPr>
        <w:suppressAutoHyphens/>
        <w:autoSpaceDN w:val="0"/>
        <w:spacing w:after="0" w:line="360" w:lineRule="auto"/>
        <w:contextualSpacing w:val="0"/>
        <w:jc w:val="right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Načelniku Općine Gunja</w:t>
      </w:r>
    </w:p>
    <w:p w14:paraId="06D81A96" w14:textId="77777777" w:rsidR="00170E74" w:rsidRDefault="00170E74" w:rsidP="00D001DD">
      <w:pPr>
        <w:pStyle w:val="Odlomakpopisa"/>
        <w:numPr>
          <w:ilvl w:val="0"/>
          <w:numId w:val="15"/>
        </w:numPr>
        <w:suppressAutoHyphens/>
        <w:autoSpaceDN w:val="0"/>
        <w:spacing w:after="0" w:line="360" w:lineRule="auto"/>
        <w:contextualSpacing w:val="0"/>
        <w:jc w:val="right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Općinskome vijeću</w:t>
      </w:r>
    </w:p>
    <w:p w14:paraId="1CB0748E" w14:textId="77777777" w:rsidR="00170E74" w:rsidRDefault="00170E74" w:rsidP="00D001DD">
      <w:pPr>
        <w:pStyle w:val="Standard"/>
        <w:spacing w:line="360" w:lineRule="auto"/>
        <w:jc w:val="both"/>
        <w:rPr>
          <w:rFonts w:ascii="Times New Roman" w:hAnsi="Times New Roman" w:cs="Times New Roman"/>
          <w:iCs/>
          <w:sz w:val="24"/>
        </w:rPr>
      </w:pPr>
    </w:p>
    <w:p w14:paraId="2B809A0D" w14:textId="0D444FF4" w:rsidR="00170E74" w:rsidRDefault="00EA690B" w:rsidP="00D001DD">
      <w:pPr>
        <w:pStyle w:val="Standard"/>
        <w:spacing w:line="360" w:lineRule="auto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Predmet: Dostava I</w:t>
      </w:r>
      <w:r w:rsidR="00170E74">
        <w:rPr>
          <w:rFonts w:ascii="Times New Roman" w:hAnsi="Times New Roman" w:cs="Times New Roman"/>
          <w:iCs/>
          <w:sz w:val="24"/>
        </w:rPr>
        <w:t xml:space="preserve">. Izmjena i dopuna Financijskog plana </w:t>
      </w:r>
      <w:r w:rsidR="00170E74">
        <w:rPr>
          <w:rFonts w:ascii="Times New Roman" w:hAnsi="Times New Roman" w:cs="Times New Roman"/>
          <w:iCs/>
          <w:sz w:val="24"/>
        </w:rPr>
        <w:tab/>
      </w:r>
      <w:r w:rsidR="00170E74">
        <w:rPr>
          <w:rFonts w:ascii="Times New Roman" w:hAnsi="Times New Roman" w:cs="Times New Roman"/>
          <w:iCs/>
          <w:sz w:val="24"/>
        </w:rPr>
        <w:tab/>
      </w:r>
      <w:r w:rsidR="00170E74">
        <w:rPr>
          <w:rFonts w:ascii="Times New Roman" w:hAnsi="Times New Roman" w:cs="Times New Roman"/>
          <w:iCs/>
          <w:sz w:val="24"/>
        </w:rPr>
        <w:tab/>
      </w:r>
      <w:r w:rsidR="00170E74">
        <w:rPr>
          <w:rFonts w:ascii="Times New Roman" w:hAnsi="Times New Roman" w:cs="Times New Roman"/>
          <w:iCs/>
          <w:sz w:val="24"/>
        </w:rPr>
        <w:tab/>
      </w:r>
      <w:r w:rsidR="00170E74">
        <w:rPr>
          <w:rFonts w:ascii="Times New Roman" w:hAnsi="Times New Roman" w:cs="Times New Roman"/>
          <w:iCs/>
          <w:sz w:val="24"/>
        </w:rPr>
        <w:tab/>
      </w:r>
      <w:r w:rsidR="00170E74">
        <w:rPr>
          <w:rFonts w:ascii="Times New Roman" w:hAnsi="Times New Roman" w:cs="Times New Roman"/>
          <w:iCs/>
          <w:sz w:val="24"/>
        </w:rPr>
        <w:tab/>
        <w:t xml:space="preserve">    Javne ustanove Narodne knjižnice i čitaonice Gunja</w:t>
      </w:r>
      <w:r w:rsidR="004C692C">
        <w:rPr>
          <w:rFonts w:ascii="Times New Roman" w:hAnsi="Times New Roman" w:cs="Times New Roman"/>
          <w:iCs/>
          <w:sz w:val="24"/>
        </w:rPr>
        <w:t xml:space="preserve"> za 2023</w:t>
      </w:r>
      <w:r w:rsidR="002E4570">
        <w:rPr>
          <w:rFonts w:ascii="Times New Roman" w:hAnsi="Times New Roman" w:cs="Times New Roman"/>
          <w:iCs/>
          <w:sz w:val="24"/>
        </w:rPr>
        <w:t>. godinu</w:t>
      </w:r>
    </w:p>
    <w:p w14:paraId="7FA2A8FB" w14:textId="77777777" w:rsidR="00170E74" w:rsidRDefault="00170E74" w:rsidP="00D001DD">
      <w:pPr>
        <w:pStyle w:val="Standard"/>
        <w:spacing w:line="360" w:lineRule="auto"/>
        <w:ind w:firstLine="360"/>
        <w:jc w:val="both"/>
        <w:rPr>
          <w:rFonts w:ascii="Times New Roman" w:hAnsi="Times New Roman" w:cs="Times New Roman"/>
          <w:iCs/>
          <w:sz w:val="24"/>
        </w:rPr>
      </w:pPr>
    </w:p>
    <w:p w14:paraId="1E39913C" w14:textId="77777777" w:rsidR="00170E74" w:rsidRDefault="00170E74" w:rsidP="00D001DD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Poštovani!</w:t>
      </w:r>
    </w:p>
    <w:p w14:paraId="21855B94" w14:textId="1923279F" w:rsidR="00170E74" w:rsidRDefault="00170E74" w:rsidP="00D001DD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Sukladno  članku 33. Statuta javne ustanove Narodne knjižnice i čitaonice Gunja, dostavljam Vam </w:t>
      </w:r>
      <w:r w:rsidRPr="003654C0">
        <w:rPr>
          <w:rFonts w:ascii="Times New Roman" w:hAnsi="Times New Roman" w:cs="Times New Roman"/>
          <w:iCs/>
          <w:sz w:val="24"/>
        </w:rPr>
        <w:t>I. Izmjene i</w:t>
      </w:r>
      <w:r>
        <w:rPr>
          <w:rFonts w:ascii="Times New Roman" w:hAnsi="Times New Roman" w:cs="Times New Roman"/>
          <w:iCs/>
          <w:sz w:val="24"/>
        </w:rPr>
        <w:t xml:space="preserve"> dopune Financijskog plana Javne ustanove „Narodna knji</w:t>
      </w:r>
      <w:r w:rsidR="00EA690B">
        <w:rPr>
          <w:rFonts w:ascii="Times New Roman" w:hAnsi="Times New Roman" w:cs="Times New Roman"/>
          <w:iCs/>
          <w:sz w:val="24"/>
        </w:rPr>
        <w:t>žnica i čitaonica Gunja“ za 202</w:t>
      </w:r>
      <w:r w:rsidR="004C692C">
        <w:rPr>
          <w:rFonts w:ascii="Times New Roman" w:hAnsi="Times New Roman" w:cs="Times New Roman"/>
          <w:iCs/>
          <w:sz w:val="24"/>
        </w:rPr>
        <w:t>3</w:t>
      </w:r>
      <w:r>
        <w:rPr>
          <w:rFonts w:ascii="Times New Roman" w:hAnsi="Times New Roman" w:cs="Times New Roman"/>
          <w:iCs/>
          <w:sz w:val="24"/>
        </w:rPr>
        <w:t>. godinu“, na razmatranje i usvajanje.</w:t>
      </w:r>
    </w:p>
    <w:p w14:paraId="1416F9C3" w14:textId="77777777" w:rsidR="00170E74" w:rsidRDefault="00170E74" w:rsidP="00D001DD">
      <w:pPr>
        <w:pStyle w:val="Standard"/>
        <w:spacing w:line="360" w:lineRule="auto"/>
        <w:jc w:val="both"/>
        <w:rPr>
          <w:rFonts w:ascii="Times New Roman" w:hAnsi="Times New Roman" w:cs="Times New Roman"/>
          <w:iCs/>
          <w:sz w:val="24"/>
        </w:rPr>
      </w:pPr>
    </w:p>
    <w:p w14:paraId="50785BC5" w14:textId="77777777" w:rsidR="00170E74" w:rsidRDefault="00170E74" w:rsidP="00D001DD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S poštovanjem!</w:t>
      </w:r>
    </w:p>
    <w:p w14:paraId="34657BAB" w14:textId="77777777" w:rsidR="00170E74" w:rsidRDefault="00170E74" w:rsidP="00D001DD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</w:p>
    <w:p w14:paraId="34462690" w14:textId="77777777" w:rsidR="00170E74" w:rsidRDefault="00170E74" w:rsidP="00D001DD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</w:p>
    <w:p w14:paraId="02423B2E" w14:textId="77777777" w:rsidR="00170E74" w:rsidRDefault="00170E74" w:rsidP="00D001DD">
      <w:pPr>
        <w:pStyle w:val="Standard"/>
        <w:spacing w:after="0" w:line="360" w:lineRule="auto"/>
        <w:ind w:left="5664"/>
        <w:jc w:val="right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V.d. ravnateljica</w:t>
      </w:r>
    </w:p>
    <w:p w14:paraId="41E51785" w14:textId="77777777" w:rsidR="00170E74" w:rsidRDefault="00170E74" w:rsidP="00D001DD">
      <w:pPr>
        <w:pStyle w:val="Standard"/>
        <w:spacing w:after="0" w:line="360" w:lineRule="auto"/>
        <w:ind w:left="5664"/>
        <w:jc w:val="right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Narodne knjižnice i čitaonice Gunja:</w:t>
      </w:r>
    </w:p>
    <w:p w14:paraId="2E66C665" w14:textId="41839BC0" w:rsidR="00AA6B90" w:rsidRPr="00D001DD" w:rsidRDefault="00851DF8" w:rsidP="00D001DD">
      <w:pPr>
        <w:pStyle w:val="Standard"/>
        <w:spacing w:after="0" w:line="360" w:lineRule="auto"/>
        <w:ind w:left="5664"/>
        <w:jc w:val="right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Žana </w:t>
      </w:r>
      <w:proofErr w:type="spellStart"/>
      <w:r>
        <w:rPr>
          <w:rFonts w:ascii="Times New Roman" w:hAnsi="Times New Roman" w:cs="Times New Roman"/>
          <w:iCs/>
          <w:sz w:val="24"/>
        </w:rPr>
        <w:t>Kužet</w:t>
      </w:r>
      <w:proofErr w:type="spellEnd"/>
      <w:r w:rsidR="00170E74">
        <w:rPr>
          <w:rFonts w:ascii="Times New Roman" w:hAnsi="Times New Roman" w:cs="Times New Roman"/>
          <w:iCs/>
          <w:sz w:val="24"/>
        </w:rPr>
        <w:t xml:space="preserve">, </w:t>
      </w:r>
      <w:proofErr w:type="spellStart"/>
      <w:r w:rsidR="00170E74">
        <w:rPr>
          <w:rFonts w:ascii="Times New Roman" w:hAnsi="Times New Roman" w:cs="Times New Roman"/>
          <w:iCs/>
          <w:sz w:val="24"/>
        </w:rPr>
        <w:t>mag.cult</w:t>
      </w:r>
      <w:proofErr w:type="spellEnd"/>
      <w:r w:rsidR="00170E74">
        <w:rPr>
          <w:rFonts w:ascii="Times New Roman" w:hAnsi="Times New Roman" w:cs="Times New Roman"/>
          <w:iCs/>
          <w:sz w:val="24"/>
        </w:rPr>
        <w:t>.</w:t>
      </w:r>
    </w:p>
    <w:p w14:paraId="37D5D939" w14:textId="672C96AE" w:rsidR="00AA6B90" w:rsidRPr="003654C0" w:rsidRDefault="00B1276A" w:rsidP="00B1276A">
      <w:pPr>
        <w:spacing w:after="200" w:line="36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3654C0">
        <w:rPr>
          <w:rFonts w:ascii="Times New Roman" w:hAnsi="Times New Roman" w:cs="Times New Roman"/>
          <w:b/>
          <w:sz w:val="28"/>
        </w:rPr>
        <w:lastRenderedPageBreak/>
        <w:t>I</w:t>
      </w:r>
      <w:r w:rsidR="00D001DD">
        <w:rPr>
          <w:rFonts w:ascii="Times New Roman" w:hAnsi="Times New Roman" w:cs="Times New Roman"/>
          <w:b/>
          <w:sz w:val="28"/>
        </w:rPr>
        <w:t>.</w:t>
      </w:r>
      <w:r w:rsidR="007B7A57" w:rsidRPr="003654C0">
        <w:rPr>
          <w:rFonts w:ascii="Times New Roman" w:hAnsi="Times New Roman" w:cs="Times New Roman"/>
          <w:b/>
          <w:sz w:val="28"/>
        </w:rPr>
        <w:t xml:space="preserve">IZMJENE I DOPUNE </w:t>
      </w:r>
      <w:r w:rsidR="00AA6B90" w:rsidRPr="003654C0">
        <w:rPr>
          <w:rFonts w:ascii="Times New Roman" w:hAnsi="Times New Roman" w:cs="Times New Roman"/>
          <w:b/>
          <w:sz w:val="28"/>
        </w:rPr>
        <w:t>FINANCIJSK</w:t>
      </w:r>
      <w:r w:rsidR="007B7A57" w:rsidRPr="003654C0">
        <w:rPr>
          <w:rFonts w:ascii="Times New Roman" w:hAnsi="Times New Roman" w:cs="Times New Roman"/>
          <w:b/>
          <w:sz w:val="28"/>
        </w:rPr>
        <w:t>OG</w:t>
      </w:r>
      <w:r w:rsidR="00AA6B90" w:rsidRPr="003654C0">
        <w:rPr>
          <w:rFonts w:ascii="Times New Roman" w:hAnsi="Times New Roman" w:cs="Times New Roman"/>
          <w:b/>
          <w:sz w:val="28"/>
        </w:rPr>
        <w:t xml:space="preserve"> PLAN</w:t>
      </w:r>
      <w:r w:rsidR="007B7A57" w:rsidRPr="003654C0">
        <w:rPr>
          <w:rFonts w:ascii="Times New Roman" w:hAnsi="Times New Roman" w:cs="Times New Roman"/>
          <w:b/>
          <w:sz w:val="28"/>
        </w:rPr>
        <w:t>A</w:t>
      </w:r>
      <w:r w:rsidR="00AA6B90" w:rsidRPr="003654C0">
        <w:rPr>
          <w:rFonts w:ascii="Times New Roman" w:hAnsi="Times New Roman" w:cs="Times New Roman"/>
          <w:b/>
          <w:sz w:val="28"/>
        </w:rPr>
        <w:t xml:space="preserve"> NARODNE KNJ</w:t>
      </w:r>
      <w:r w:rsidRPr="003654C0">
        <w:rPr>
          <w:rFonts w:ascii="Times New Roman" w:hAnsi="Times New Roman" w:cs="Times New Roman"/>
          <w:b/>
          <w:sz w:val="28"/>
        </w:rPr>
        <w:t xml:space="preserve">IŽNICE I ČITAONICE </w:t>
      </w:r>
      <w:r w:rsidR="00103791">
        <w:rPr>
          <w:rFonts w:ascii="Times New Roman" w:hAnsi="Times New Roman" w:cs="Times New Roman"/>
          <w:b/>
          <w:sz w:val="28"/>
        </w:rPr>
        <w:t>GUNJA ZA 2023</w:t>
      </w:r>
      <w:r w:rsidR="00AA6B90" w:rsidRPr="003654C0">
        <w:rPr>
          <w:rFonts w:ascii="Times New Roman" w:hAnsi="Times New Roman" w:cs="Times New Roman"/>
          <w:b/>
          <w:sz w:val="28"/>
        </w:rPr>
        <w:t xml:space="preserve">. GODINU </w:t>
      </w:r>
    </w:p>
    <w:p w14:paraId="21FB32F4" w14:textId="77777777" w:rsidR="00AA6B90" w:rsidRDefault="00AA6B90" w:rsidP="00AA6B90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654C0">
        <w:rPr>
          <w:rFonts w:ascii="Times New Roman" w:hAnsi="Times New Roman" w:cs="Times New Roman"/>
          <w:b/>
          <w:sz w:val="28"/>
        </w:rPr>
        <w:t xml:space="preserve"> Obrazloženje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54220CBC" w14:textId="77777777" w:rsidR="004C692C" w:rsidRDefault="004C692C" w:rsidP="00AA6B90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3CDE8CEA" w14:textId="16F06A1D" w:rsidR="00AA6B90" w:rsidRDefault="00AA6B90" w:rsidP="007B7A57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u w:val="single"/>
        </w:rPr>
      </w:pPr>
      <w:r>
        <w:rPr>
          <w:rFonts w:ascii="Times New Roman" w:hAnsi="Times New Roman" w:cs="Times New Roman"/>
          <w:bCs/>
          <w:sz w:val="24"/>
          <w:u w:val="single"/>
        </w:rPr>
        <w:t>Proračunski korisnik 50784 Narodna knjižnica i čitaonica Gunja</w:t>
      </w:r>
    </w:p>
    <w:p w14:paraId="40D0B16B" w14:textId="52F40E64" w:rsidR="00AA6B90" w:rsidRDefault="00AA6B90" w:rsidP="00AA6B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Narodna knjižnica i čitaonica Gunja ima status javne ustanove koja obavlja knjižničnu djelatnost. Osnivač Knjižnice je Općina Gunja. Knjižnica je osnovana 29. svibnja 2018. godine na temelju Odluke o osnivanju Javne ustanove „Narodna knjižnica i čitaonica Gunja“ (KLASA: 612-04/18-01/981, URBROJ: 2212/07-18-1). Knjižnica ima svojstvo pravne osobe te je upisana u registar Trgovačkog suda u Osijeku 4. ožujka 2019. godine pod matičnim brojem subjekta upisa (MBS) 05063671 Rješenjem pod brojem TT-19/1306-2. Sredstva za rad Knjižnice osiguravaju se iz Proračuna Općine Gunja. Knjižnica ima jednu zaposlenu osobu.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Djelatnost knjižnice obuhvaća: nabavu knjižnične građe i izgradnju knjižničnih zbirki, stručnu obradu knjižnične građe prema stručnim standardima, što uključuje izradu informacijskih pomagala u tiskanom i/ili elektroničkom obliku, pohranu, čuvanje i zaštitu knjižnične građe te provođenje mjera zaštite knjižnične građe koja je kulturno dobro, pružanje informacijskih usluga, posudbu i davanje na korištenje knjižnične građe, uključujući </w:t>
      </w:r>
      <w:proofErr w:type="spellStart"/>
      <w:r>
        <w:rPr>
          <w:rFonts w:ascii="Times New Roman" w:hAnsi="Times New Roman" w:cs="Times New Roman"/>
          <w:sz w:val="24"/>
        </w:rPr>
        <w:t>međuknjižničnu</w:t>
      </w:r>
      <w:proofErr w:type="spellEnd"/>
      <w:r>
        <w:rPr>
          <w:rFonts w:ascii="Times New Roman" w:hAnsi="Times New Roman" w:cs="Times New Roman"/>
          <w:sz w:val="24"/>
        </w:rPr>
        <w:t xml:space="preserve"> posudbu, digitalizaciju knjižnične građe, usmjeravanje i podučavanje korisnika pri izboru i korištenju knjižnične građe, vođenje dokumentacije i prikupljanje statističkih podataka o poslovanju, knjižničnoj građi, korisnicima i o korištenju usluga knjižnice, prikupljanje statističkih podataka vezanih uz provedbu propisa kojima se uređuju autorska i srodna prava, pripremanje kulturnih, informacijskih, obrazovnih i znanstvenih sadržaja i programa te obavljanje i drugih poslova sukladno Zakonu i drugim propisima.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Knjižn</w:t>
      </w:r>
      <w:r w:rsidR="00CD38FC">
        <w:rPr>
          <w:rFonts w:ascii="Times New Roman" w:hAnsi="Times New Roman" w:cs="Times New Roman"/>
          <w:sz w:val="24"/>
        </w:rPr>
        <w:t>ica će tijekom razdoblja od 2023. do 2025</w:t>
      </w:r>
      <w:r>
        <w:rPr>
          <w:rFonts w:ascii="Times New Roman" w:hAnsi="Times New Roman" w:cs="Times New Roman"/>
          <w:sz w:val="24"/>
        </w:rPr>
        <w:t>. omogućiti svim korisnicima i svim zainteresiranim pristup informacijama i izvorima znanja, poticati čitanje i druge kulturne aktivnosti, organizirati radionice i književne susrete, surađivati sa lokalnim zajednicama i udrugama te se uključiti u kulturni život Općine Gunja.</w:t>
      </w:r>
    </w:p>
    <w:p w14:paraId="17121889" w14:textId="77777777" w:rsidR="00D001DD" w:rsidRDefault="00D001DD" w:rsidP="00AA6B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5A3CBE3" w14:textId="77777777" w:rsidR="00D001DD" w:rsidRDefault="00D001DD" w:rsidP="00AA6B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F19902D" w14:textId="77777777" w:rsidR="00D001DD" w:rsidRDefault="00D001DD" w:rsidP="00AA6B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B87B616" w14:textId="77777777" w:rsidR="00D001DD" w:rsidRDefault="00D001DD" w:rsidP="00AA6B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2CB9586" w14:textId="2B9DAAF9" w:rsidR="00AA6B90" w:rsidRPr="00D001DD" w:rsidRDefault="00AA6B90" w:rsidP="007B7A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1DD">
        <w:rPr>
          <w:rFonts w:ascii="Times New Roman" w:hAnsi="Times New Roman" w:cs="Times New Roman"/>
          <w:iCs/>
          <w:sz w:val="24"/>
          <w:szCs w:val="24"/>
          <w:u w:val="single"/>
        </w:rPr>
        <w:lastRenderedPageBreak/>
        <w:t>Zakonske i druge pravne osnove:</w:t>
      </w:r>
    </w:p>
    <w:p w14:paraId="287D889E" w14:textId="77777777" w:rsidR="00CD38FC" w:rsidRPr="00D001DD" w:rsidRDefault="00AA6B90" w:rsidP="00CD38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1DD">
        <w:rPr>
          <w:rFonts w:ascii="Times New Roman" w:hAnsi="Times New Roman" w:cs="Times New Roman"/>
          <w:sz w:val="24"/>
          <w:szCs w:val="24"/>
        </w:rPr>
        <w:tab/>
        <w:t>Financijski plan izrađen je na temelju zakonske osnove: Zakon o knjižnicama i</w:t>
      </w:r>
      <w:r w:rsidR="004C692C" w:rsidRPr="00D001DD">
        <w:rPr>
          <w:rFonts w:ascii="Times New Roman" w:hAnsi="Times New Roman" w:cs="Times New Roman"/>
          <w:sz w:val="24"/>
          <w:szCs w:val="24"/>
        </w:rPr>
        <w:t xml:space="preserve"> knjižničnoj djelatnosti NN 17/</w:t>
      </w:r>
      <w:r w:rsidRPr="00D001DD">
        <w:rPr>
          <w:rFonts w:ascii="Times New Roman" w:hAnsi="Times New Roman" w:cs="Times New Roman"/>
          <w:sz w:val="24"/>
          <w:szCs w:val="24"/>
        </w:rPr>
        <w:t>19</w:t>
      </w:r>
      <w:r w:rsidR="004C692C" w:rsidRPr="00D001DD">
        <w:rPr>
          <w:rFonts w:ascii="Times New Roman" w:hAnsi="Times New Roman" w:cs="Times New Roman"/>
          <w:sz w:val="24"/>
          <w:szCs w:val="24"/>
        </w:rPr>
        <w:t xml:space="preserve"> i NN 114/22</w:t>
      </w:r>
      <w:r w:rsidRPr="00D001DD">
        <w:rPr>
          <w:rFonts w:ascii="Times New Roman" w:hAnsi="Times New Roman" w:cs="Times New Roman"/>
          <w:sz w:val="24"/>
          <w:szCs w:val="24"/>
        </w:rPr>
        <w:t>, Statut Javne ustanove Narodne knjižnice i čitaonice Gunja od 29. ožujka 2019., Zakon o proračunu</w:t>
      </w:r>
      <w:r w:rsidR="004C692C" w:rsidRPr="00D001DD">
        <w:rPr>
          <w:rFonts w:ascii="Times New Roman" w:hAnsi="Times New Roman" w:cs="Times New Roman"/>
          <w:sz w:val="24"/>
          <w:szCs w:val="24"/>
        </w:rPr>
        <w:t xml:space="preserve"> NN 144/21 i 145/22</w:t>
      </w:r>
      <w:r w:rsidRPr="00D001DD">
        <w:rPr>
          <w:rFonts w:ascii="Times New Roman" w:hAnsi="Times New Roman" w:cs="Times New Roman"/>
          <w:sz w:val="24"/>
          <w:szCs w:val="24"/>
        </w:rPr>
        <w:t>, Pravilnik o proračunskim klasifikacijama</w:t>
      </w:r>
      <w:r w:rsidR="004C692C" w:rsidRPr="00D001DD">
        <w:rPr>
          <w:rFonts w:ascii="Times New Roman" w:hAnsi="Times New Roman" w:cs="Times New Roman"/>
          <w:sz w:val="24"/>
          <w:szCs w:val="24"/>
        </w:rPr>
        <w:t xml:space="preserve"> NN 1/20</w:t>
      </w:r>
      <w:r w:rsidRPr="00D001DD">
        <w:rPr>
          <w:rFonts w:ascii="Times New Roman" w:hAnsi="Times New Roman" w:cs="Times New Roman"/>
          <w:sz w:val="24"/>
          <w:szCs w:val="24"/>
        </w:rPr>
        <w:t>, Upute za izradu proračuna jedinica lokalne i područne (regionalne)</w:t>
      </w:r>
      <w:r w:rsidR="00CD38FC" w:rsidRPr="00D001DD">
        <w:rPr>
          <w:rFonts w:ascii="Times New Roman" w:hAnsi="Times New Roman" w:cs="Times New Roman"/>
          <w:sz w:val="24"/>
          <w:szCs w:val="24"/>
        </w:rPr>
        <w:t xml:space="preserve"> samouprave za razdoblje od 2022. do 2024</w:t>
      </w:r>
      <w:r w:rsidRPr="00D001DD">
        <w:rPr>
          <w:rFonts w:ascii="Times New Roman" w:hAnsi="Times New Roman" w:cs="Times New Roman"/>
          <w:sz w:val="24"/>
          <w:szCs w:val="24"/>
        </w:rPr>
        <w:t>.</w:t>
      </w:r>
      <w:r w:rsidRPr="00D001DD">
        <w:rPr>
          <w:rFonts w:ascii="Times New Roman" w:hAnsi="Times New Roman" w:cs="Times New Roman"/>
          <w:sz w:val="24"/>
          <w:szCs w:val="24"/>
        </w:rPr>
        <w:tab/>
      </w:r>
      <w:r w:rsidR="00CD38FC" w:rsidRPr="00D001DD">
        <w:rPr>
          <w:rFonts w:ascii="Times New Roman" w:hAnsi="Times New Roman" w:cs="Times New Roman"/>
          <w:sz w:val="24"/>
          <w:szCs w:val="24"/>
        </w:rPr>
        <w:t>Izmjene i dopune općeg dijela proračuna iz stavka 1. ovoga članka sastoje se od izmjena i dopuna Računa prihoda i rashoda i izmjena i dopuna Računa financiranja.</w:t>
      </w:r>
    </w:p>
    <w:p w14:paraId="72EECD4B" w14:textId="77777777" w:rsidR="00CD38FC" w:rsidRPr="00D001DD" w:rsidRDefault="00CD38FC" w:rsidP="00CD38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1DD">
        <w:rPr>
          <w:rFonts w:ascii="Times New Roman" w:hAnsi="Times New Roman" w:cs="Times New Roman"/>
          <w:sz w:val="24"/>
          <w:szCs w:val="24"/>
        </w:rPr>
        <w:tab/>
        <w:t>Izmjene i dopune posebnog dijela proračuna iz stavka 1. ovoga članka sastoje se od izmjena i dopuna plana rashoda i izdataka proračunskih korisnika iskazanih po vrstama, raspoređenih u programe koji se sastoje od aktivnosti i projekata.</w:t>
      </w:r>
      <w:r w:rsidRPr="00D001DD">
        <w:rPr>
          <w:rFonts w:ascii="Times New Roman" w:hAnsi="Times New Roman" w:cs="Times New Roman"/>
          <w:sz w:val="24"/>
          <w:szCs w:val="24"/>
        </w:rPr>
        <w:tab/>
      </w:r>
    </w:p>
    <w:p w14:paraId="74FF83CE" w14:textId="09DD4A2B" w:rsidR="00CD38FC" w:rsidRPr="00D001DD" w:rsidRDefault="00482800" w:rsidP="00CD38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1DD">
        <w:rPr>
          <w:rFonts w:ascii="Times New Roman" w:hAnsi="Times New Roman" w:cs="Times New Roman"/>
          <w:sz w:val="24"/>
          <w:szCs w:val="24"/>
        </w:rPr>
        <w:t xml:space="preserve"> </w:t>
      </w:r>
      <w:r w:rsidR="00CD38FC" w:rsidRPr="00D001DD">
        <w:rPr>
          <w:rFonts w:ascii="Times New Roman" w:hAnsi="Times New Roman" w:cs="Times New Roman"/>
          <w:sz w:val="24"/>
          <w:szCs w:val="24"/>
        </w:rPr>
        <w:tab/>
        <w:t xml:space="preserve">Razlog za prvu izmjenu i dopunu financijskog plana za 2023. godinu je usklađenje na stavkama prihoda i rashoda sukladno priljevu sredstava, te realizaciji i tijeku aktivnosti, projekata. </w:t>
      </w:r>
    </w:p>
    <w:p w14:paraId="07186042" w14:textId="787EF4B0" w:rsidR="001131C4" w:rsidRPr="00D001DD" w:rsidRDefault="00D001DD" w:rsidP="00D00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I.</w:t>
      </w:r>
      <w:r w:rsidR="001131C4" w:rsidRPr="00D001DD">
        <w:rPr>
          <w:rFonts w:ascii="Times New Roman" w:hAnsi="Times New Roman" w:cs="Times New Roman"/>
          <w:sz w:val="24"/>
          <w:szCs w:val="24"/>
        </w:rPr>
        <w:t>Izmjene</w:t>
      </w:r>
      <w:proofErr w:type="spellEnd"/>
      <w:r w:rsidR="001131C4" w:rsidRPr="00D001DD">
        <w:rPr>
          <w:rFonts w:ascii="Times New Roman" w:hAnsi="Times New Roman" w:cs="Times New Roman"/>
          <w:sz w:val="24"/>
          <w:szCs w:val="24"/>
        </w:rPr>
        <w:t xml:space="preserve"> i dopune financijskog plana Narodne knj</w:t>
      </w:r>
      <w:r w:rsidR="00482800" w:rsidRPr="00D001DD">
        <w:rPr>
          <w:rFonts w:ascii="Times New Roman" w:hAnsi="Times New Roman" w:cs="Times New Roman"/>
          <w:sz w:val="24"/>
          <w:szCs w:val="24"/>
        </w:rPr>
        <w:t>ižnice i čitaonice Gunja za 2023</w:t>
      </w:r>
      <w:r w:rsidR="001131C4" w:rsidRPr="00D001DD">
        <w:rPr>
          <w:rFonts w:ascii="Times New Roman" w:hAnsi="Times New Roman" w:cs="Times New Roman"/>
          <w:sz w:val="24"/>
          <w:szCs w:val="24"/>
        </w:rPr>
        <w:t xml:space="preserve">. godinu </w:t>
      </w:r>
      <w:r w:rsidR="003654C0" w:rsidRPr="00D001DD">
        <w:rPr>
          <w:rFonts w:ascii="Times New Roman" w:hAnsi="Times New Roman" w:cs="Times New Roman"/>
          <w:sz w:val="24"/>
          <w:szCs w:val="24"/>
        </w:rPr>
        <w:t xml:space="preserve">bilježe </w:t>
      </w:r>
      <w:r w:rsidR="006620D3" w:rsidRPr="00D001DD">
        <w:rPr>
          <w:rFonts w:ascii="Times New Roman" w:hAnsi="Times New Roman" w:cs="Times New Roman"/>
          <w:sz w:val="24"/>
          <w:szCs w:val="24"/>
        </w:rPr>
        <w:t>smanjenje</w:t>
      </w:r>
      <w:r w:rsidR="001131C4" w:rsidRPr="00D001DD">
        <w:rPr>
          <w:rFonts w:ascii="Times New Roman" w:hAnsi="Times New Roman" w:cs="Times New Roman"/>
          <w:sz w:val="24"/>
          <w:szCs w:val="24"/>
        </w:rPr>
        <w:t xml:space="preserve"> od </w:t>
      </w:r>
      <w:r w:rsidR="00E32E8C" w:rsidRPr="00D001DD">
        <w:rPr>
          <w:rFonts w:ascii="Times New Roman" w:hAnsi="Times New Roman" w:cs="Times New Roman"/>
          <w:sz w:val="24"/>
          <w:szCs w:val="24"/>
        </w:rPr>
        <w:t xml:space="preserve">ukupno </w:t>
      </w:r>
      <w:r w:rsidR="00482800" w:rsidRPr="00D001DD">
        <w:rPr>
          <w:rFonts w:ascii="Times New Roman" w:hAnsi="Times New Roman" w:cs="Times New Roman"/>
          <w:sz w:val="24"/>
          <w:szCs w:val="24"/>
        </w:rPr>
        <w:t>3.571,01 eur</w:t>
      </w:r>
      <w:r w:rsidRPr="00D001DD">
        <w:rPr>
          <w:rFonts w:ascii="Times New Roman" w:hAnsi="Times New Roman" w:cs="Times New Roman"/>
          <w:sz w:val="24"/>
          <w:szCs w:val="24"/>
        </w:rPr>
        <w:t>a</w:t>
      </w:r>
      <w:r w:rsidR="006620D3" w:rsidRPr="00D001DD">
        <w:rPr>
          <w:rFonts w:ascii="Times New Roman" w:hAnsi="Times New Roman" w:cs="Times New Roman"/>
          <w:sz w:val="24"/>
          <w:szCs w:val="24"/>
        </w:rPr>
        <w:t xml:space="preserve"> </w:t>
      </w:r>
      <w:r w:rsidR="001131C4" w:rsidRPr="00D001DD">
        <w:rPr>
          <w:rFonts w:ascii="Times New Roman" w:hAnsi="Times New Roman" w:cs="Times New Roman"/>
          <w:sz w:val="24"/>
          <w:szCs w:val="24"/>
        </w:rPr>
        <w:t xml:space="preserve">(sa </w:t>
      </w:r>
      <w:r w:rsidR="00482800" w:rsidRPr="00D001DD">
        <w:rPr>
          <w:rFonts w:ascii="Times New Roman" w:hAnsi="Times New Roman" w:cs="Times New Roman"/>
          <w:sz w:val="24"/>
          <w:szCs w:val="24"/>
        </w:rPr>
        <w:t>32.438,49 eur</w:t>
      </w:r>
      <w:r w:rsidRPr="00D001DD">
        <w:rPr>
          <w:rFonts w:ascii="Times New Roman" w:hAnsi="Times New Roman" w:cs="Times New Roman"/>
          <w:sz w:val="24"/>
          <w:szCs w:val="24"/>
        </w:rPr>
        <w:t>a</w:t>
      </w:r>
      <w:r w:rsidR="001131C4" w:rsidRPr="00D001DD">
        <w:rPr>
          <w:rFonts w:ascii="Times New Roman" w:hAnsi="Times New Roman" w:cs="Times New Roman"/>
          <w:sz w:val="24"/>
          <w:szCs w:val="24"/>
        </w:rPr>
        <w:t xml:space="preserve"> na </w:t>
      </w:r>
      <w:r w:rsidR="00482800" w:rsidRPr="00D001DD">
        <w:rPr>
          <w:rFonts w:ascii="Times New Roman" w:hAnsi="Times New Roman" w:cs="Times New Roman"/>
          <w:sz w:val="24"/>
          <w:szCs w:val="24"/>
        </w:rPr>
        <w:t>28.867,48</w:t>
      </w:r>
      <w:r w:rsidRPr="00D001DD">
        <w:rPr>
          <w:rFonts w:ascii="Times New Roman" w:hAnsi="Times New Roman" w:cs="Times New Roman"/>
          <w:sz w:val="24"/>
          <w:szCs w:val="24"/>
        </w:rPr>
        <w:t xml:space="preserve"> eura</w:t>
      </w:r>
      <w:r w:rsidR="001131C4" w:rsidRPr="00D001DD">
        <w:rPr>
          <w:rFonts w:ascii="Times New Roman" w:hAnsi="Times New Roman" w:cs="Times New Roman"/>
          <w:sz w:val="24"/>
          <w:szCs w:val="24"/>
        </w:rPr>
        <w:t>)</w:t>
      </w:r>
      <w:r w:rsidR="00E82E52" w:rsidRPr="00D001DD">
        <w:rPr>
          <w:rFonts w:ascii="Times New Roman" w:hAnsi="Times New Roman" w:cs="Times New Roman"/>
          <w:sz w:val="24"/>
          <w:szCs w:val="24"/>
        </w:rPr>
        <w:t>, a izrađene su uravnoteženjem prihoda i rashoda, prema navedenim aktivnostima.  Projekcije za 202</w:t>
      </w:r>
      <w:r w:rsidR="00EA690B" w:rsidRPr="00D001DD">
        <w:rPr>
          <w:rFonts w:ascii="Times New Roman" w:hAnsi="Times New Roman" w:cs="Times New Roman"/>
          <w:sz w:val="24"/>
          <w:szCs w:val="24"/>
        </w:rPr>
        <w:t>3</w:t>
      </w:r>
      <w:r w:rsidR="00E82E52" w:rsidRPr="00D001DD">
        <w:rPr>
          <w:rFonts w:ascii="Times New Roman" w:hAnsi="Times New Roman" w:cs="Times New Roman"/>
          <w:sz w:val="24"/>
          <w:szCs w:val="24"/>
        </w:rPr>
        <w:t>. i 202</w:t>
      </w:r>
      <w:r w:rsidR="00C17D90" w:rsidRPr="00D001DD">
        <w:rPr>
          <w:rFonts w:ascii="Times New Roman" w:hAnsi="Times New Roman" w:cs="Times New Roman"/>
          <w:sz w:val="24"/>
          <w:szCs w:val="24"/>
        </w:rPr>
        <w:t>4</w:t>
      </w:r>
      <w:r w:rsidR="00E82E52" w:rsidRPr="00D001DD">
        <w:rPr>
          <w:rFonts w:ascii="Times New Roman" w:hAnsi="Times New Roman" w:cs="Times New Roman"/>
          <w:sz w:val="24"/>
          <w:szCs w:val="24"/>
        </w:rPr>
        <w:t xml:space="preserve">. godinu </w:t>
      </w:r>
      <w:r w:rsidR="00C17D90" w:rsidRPr="00D001DD">
        <w:rPr>
          <w:rFonts w:ascii="Times New Roman" w:hAnsi="Times New Roman" w:cs="Times New Roman"/>
          <w:sz w:val="24"/>
          <w:szCs w:val="24"/>
        </w:rPr>
        <w:t>biti će dostavljen</w:t>
      </w:r>
      <w:r w:rsidR="00FA2C98">
        <w:rPr>
          <w:rFonts w:ascii="Times New Roman" w:hAnsi="Times New Roman" w:cs="Times New Roman"/>
          <w:sz w:val="24"/>
          <w:szCs w:val="24"/>
        </w:rPr>
        <w:t>e</w:t>
      </w:r>
      <w:r w:rsidR="00C17D90" w:rsidRPr="00D001DD">
        <w:rPr>
          <w:rFonts w:ascii="Times New Roman" w:hAnsi="Times New Roman" w:cs="Times New Roman"/>
          <w:sz w:val="24"/>
          <w:szCs w:val="24"/>
        </w:rPr>
        <w:t xml:space="preserve"> u za to predviđenom roku</w:t>
      </w:r>
      <w:r w:rsidR="00FA16E8" w:rsidRPr="00D001DD">
        <w:rPr>
          <w:rFonts w:ascii="Times New Roman" w:hAnsi="Times New Roman" w:cs="Times New Roman"/>
          <w:sz w:val="24"/>
          <w:szCs w:val="24"/>
        </w:rPr>
        <w:t>.</w:t>
      </w:r>
      <w:r w:rsidR="009C5542" w:rsidRPr="00D001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2F424" w14:textId="77777777" w:rsidR="00D001DD" w:rsidRDefault="00D001DD" w:rsidP="00D001DD">
      <w:pPr>
        <w:pStyle w:val="Odlomakpopisa"/>
        <w:spacing w:after="0" w:line="36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14:paraId="68DA7E8F" w14:textId="77777777" w:rsidR="00D001DD" w:rsidRPr="00D001DD" w:rsidRDefault="00D001DD" w:rsidP="00D001DD">
      <w:pPr>
        <w:pStyle w:val="Odlomakpopisa"/>
        <w:spacing w:after="0" w:line="36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14:paraId="36243FC5" w14:textId="5DDA9A60" w:rsidR="009C5542" w:rsidRPr="00D001DD" w:rsidRDefault="009C5542" w:rsidP="009C5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1DD">
        <w:rPr>
          <w:rFonts w:ascii="Times New Roman" w:hAnsi="Times New Roman" w:cs="Times New Roman"/>
          <w:sz w:val="24"/>
          <w:szCs w:val="24"/>
        </w:rPr>
        <w:t>PRVE IZMJENE I DOPUNE JAVNE USTANOVE NARODNE KNJIŽNICE I ČITAONICE GUNJA ZA 2022.</w:t>
      </w:r>
      <w:r w:rsidR="003654C0" w:rsidRPr="00D001DD">
        <w:rPr>
          <w:rFonts w:ascii="Times New Roman" w:hAnsi="Times New Roman" w:cs="Times New Roman"/>
          <w:sz w:val="24"/>
          <w:szCs w:val="24"/>
        </w:rPr>
        <w:t xml:space="preserve"> </w:t>
      </w:r>
      <w:r w:rsidRPr="00D001DD">
        <w:rPr>
          <w:rFonts w:ascii="Times New Roman" w:hAnsi="Times New Roman" w:cs="Times New Roman"/>
          <w:sz w:val="24"/>
          <w:szCs w:val="24"/>
        </w:rPr>
        <w:t>GODINU</w:t>
      </w:r>
    </w:p>
    <w:p w14:paraId="062F4883" w14:textId="2D564647" w:rsidR="009C5542" w:rsidRPr="00D001DD" w:rsidRDefault="003654C0" w:rsidP="009C554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D001DD">
        <w:rPr>
          <w:rFonts w:ascii="Times New Roman" w:hAnsi="Times New Roman" w:cs="Times New Roman"/>
          <w:bCs/>
        </w:rPr>
        <w:t>Tablica 1.</w:t>
      </w:r>
      <w:r w:rsidR="009C5542" w:rsidRPr="00D001DD">
        <w:rPr>
          <w:rFonts w:ascii="Times New Roman" w:hAnsi="Times New Roman" w:cs="Times New Roman"/>
          <w:bCs/>
        </w:rPr>
        <w:t xml:space="preserve"> Struktura iz</w:t>
      </w:r>
      <w:r w:rsidR="00482800" w:rsidRPr="00D001DD">
        <w:rPr>
          <w:rFonts w:ascii="Times New Roman" w:hAnsi="Times New Roman" w:cs="Times New Roman"/>
          <w:bCs/>
        </w:rPr>
        <w:t>mjena i dopuna proračuna za 2023</w:t>
      </w:r>
      <w:r w:rsidR="009C5542" w:rsidRPr="00D001DD">
        <w:rPr>
          <w:rFonts w:ascii="Times New Roman" w:hAnsi="Times New Roman" w:cs="Times New Roman"/>
          <w:bCs/>
        </w:rPr>
        <w:t xml:space="preserve">. godinu prema osnovnoj ekonomskoj klasifikaciji </w:t>
      </w:r>
    </w:p>
    <w:tbl>
      <w:tblPr>
        <w:tblW w:w="23691" w:type="dxa"/>
        <w:tblInd w:w="-142" w:type="dxa"/>
        <w:tblLook w:val="04A0" w:firstRow="1" w:lastRow="0" w:firstColumn="1" w:lastColumn="0" w:noHBand="0" w:noVBand="1"/>
      </w:tblPr>
      <w:tblGrid>
        <w:gridCol w:w="10050"/>
        <w:gridCol w:w="11443"/>
        <w:gridCol w:w="1760"/>
        <w:gridCol w:w="1760"/>
        <w:gridCol w:w="222"/>
      </w:tblGrid>
      <w:tr w:rsidR="009C5542" w:rsidRPr="00D001DD" w14:paraId="0050B93D" w14:textId="77777777" w:rsidTr="004223B3">
        <w:trPr>
          <w:gridAfter w:val="1"/>
          <w:wAfter w:w="222" w:type="dxa"/>
          <w:trHeight w:val="345"/>
        </w:trPr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C2A65" w14:textId="54F9D3A5" w:rsidR="009C5542" w:rsidRPr="00D001DD" w:rsidRDefault="009C5542" w:rsidP="000F05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001DD">
              <w:rPr>
                <w:rFonts w:ascii="Times New Roman" w:hAnsi="Times New Roman" w:cs="Times New Roman"/>
                <w:b/>
                <w:color w:val="000000"/>
              </w:rPr>
              <w:t>A. RAČUN PRIHODA I RASHODA</w:t>
            </w:r>
          </w:p>
        </w:tc>
        <w:tc>
          <w:tcPr>
            <w:tcW w:w="1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34C2A" w14:textId="77777777" w:rsidR="009C5542" w:rsidRPr="00D001DD" w:rsidRDefault="009C5542" w:rsidP="000F057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DE18A" w14:textId="77777777" w:rsidR="009C5542" w:rsidRPr="00D001DD" w:rsidRDefault="009C5542" w:rsidP="000F057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255C2" w14:textId="77777777" w:rsidR="009C5542" w:rsidRPr="00D001DD" w:rsidRDefault="009C5542" w:rsidP="000F057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5542" w:rsidRPr="00D001DD" w14:paraId="170DEF76" w14:textId="77777777" w:rsidTr="004223B3">
        <w:trPr>
          <w:gridAfter w:val="1"/>
          <w:wAfter w:w="222" w:type="dxa"/>
          <w:trHeight w:val="468"/>
        </w:trPr>
        <w:tc>
          <w:tcPr>
            <w:tcW w:w="8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824" w:type="dxa"/>
              <w:tblLook w:val="04A0" w:firstRow="1" w:lastRow="0" w:firstColumn="1" w:lastColumn="0" w:noHBand="0" w:noVBand="1"/>
            </w:tblPr>
            <w:tblGrid>
              <w:gridCol w:w="960"/>
              <w:gridCol w:w="3868"/>
              <w:gridCol w:w="1340"/>
              <w:gridCol w:w="1246"/>
              <w:gridCol w:w="992"/>
              <w:gridCol w:w="1418"/>
            </w:tblGrid>
            <w:tr w:rsidR="00FE7F62" w:rsidRPr="00D001DD" w14:paraId="3214BEA4" w14:textId="77777777" w:rsidTr="004223B3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D0FA3" w14:textId="77777777" w:rsidR="00FE7F62" w:rsidRPr="00D001DD" w:rsidRDefault="00FE7F62" w:rsidP="00FE7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DC0B9" w14:textId="77777777" w:rsidR="00FE7F62" w:rsidRPr="00D001DD" w:rsidRDefault="00FE7F62" w:rsidP="00FE7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7513F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 xml:space="preserve"> PLANIRANO 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4C823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IZNOS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EAFED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(%)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FB5F8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NOVI IZNOS</w:t>
                  </w:r>
                </w:p>
              </w:tc>
            </w:tr>
            <w:tr w:rsidR="00FE7F62" w:rsidRPr="00D001DD" w14:paraId="0B2C301B" w14:textId="77777777" w:rsidTr="004223B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26CD2" w14:textId="77777777" w:rsidR="00FE7F62" w:rsidRPr="00D001DD" w:rsidRDefault="00FE7F62" w:rsidP="00FE7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5ACEC" w14:textId="77777777" w:rsidR="00FE7F62" w:rsidRPr="00D001DD" w:rsidRDefault="00FE7F62" w:rsidP="00FE7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7C481" w14:textId="77777777" w:rsidR="00FE7F62" w:rsidRPr="00D001DD" w:rsidRDefault="00FE7F62" w:rsidP="00FE7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A82D9" w14:textId="77777777" w:rsidR="00FE7F62" w:rsidRPr="00D001DD" w:rsidRDefault="00FE7F62" w:rsidP="00FE7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A8D95" w14:textId="77777777" w:rsidR="00FE7F62" w:rsidRPr="00D001DD" w:rsidRDefault="00FE7F62" w:rsidP="00FE7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6634D" w14:textId="77777777" w:rsidR="00FE7F62" w:rsidRPr="00D001DD" w:rsidRDefault="00FE7F62" w:rsidP="00FE7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E7F62" w:rsidRPr="00D001DD" w14:paraId="79F93430" w14:textId="77777777" w:rsidTr="004223B3">
              <w:trPr>
                <w:trHeight w:val="476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E38F3" w14:textId="77777777" w:rsidR="00FE7F62" w:rsidRPr="00D001DD" w:rsidRDefault="00FE7F62" w:rsidP="00FE7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A.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BA483" w14:textId="77777777" w:rsidR="00FE7F62" w:rsidRPr="00D001DD" w:rsidRDefault="00FE7F62" w:rsidP="00FE7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RAČUN PRIHODA I RASHODA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82EE15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       32.438,49    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49A30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-          3.571,01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BCEF9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-11,01%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FEE64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           28.867,48    </w:t>
                  </w:r>
                </w:p>
              </w:tc>
            </w:tr>
            <w:tr w:rsidR="00FE7F62" w:rsidRPr="00D001DD" w14:paraId="0631B0C3" w14:textId="77777777" w:rsidTr="004223B3">
              <w:trPr>
                <w:trHeight w:val="554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408AD" w14:textId="77777777" w:rsidR="00FE7F62" w:rsidRPr="00D001DD" w:rsidRDefault="00FE7F62" w:rsidP="00FE7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DBCC5" w14:textId="77777777" w:rsidR="00FE7F62" w:rsidRPr="00D001DD" w:rsidRDefault="00FE7F62" w:rsidP="00FE7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Prihodi poslovanja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FCF4C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32.438,49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068A8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-          3.571,01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1BCAE7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-11,01%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3B98B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28.867,48</w:t>
                  </w:r>
                </w:p>
              </w:tc>
            </w:tr>
            <w:tr w:rsidR="00FE7F62" w:rsidRPr="00D001DD" w14:paraId="47DD4A3C" w14:textId="77777777" w:rsidTr="004223B3">
              <w:trPr>
                <w:trHeight w:val="56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6E336" w14:textId="77777777" w:rsidR="00FE7F62" w:rsidRPr="00D001DD" w:rsidRDefault="00FE7F62" w:rsidP="00FE7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75534" w14:textId="77777777" w:rsidR="00FE7F62" w:rsidRPr="00D001DD" w:rsidRDefault="00FE7F62" w:rsidP="00FE7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Prihodi od prodaje nefinancijske imovine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C636A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EA3D6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                     -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029C7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F7375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</w:tr>
            <w:tr w:rsidR="00FE7F62" w:rsidRPr="00D001DD" w14:paraId="70E1C353" w14:textId="77777777" w:rsidTr="004223B3">
              <w:trPr>
                <w:trHeight w:val="5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5CE05" w14:textId="77777777" w:rsidR="00FE7F62" w:rsidRPr="00D001DD" w:rsidRDefault="00FE7F62" w:rsidP="00FE7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 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D50B6" w14:textId="77777777" w:rsidR="00FE7F62" w:rsidRPr="00D001DD" w:rsidRDefault="00FE7F62" w:rsidP="00FE7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E271D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32.438,49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F6AF0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-          3.571,01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64623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-11,01%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D9B76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28.867,48</w:t>
                  </w:r>
                </w:p>
              </w:tc>
            </w:tr>
            <w:tr w:rsidR="00FE7F62" w:rsidRPr="00D001DD" w14:paraId="5DC1CE41" w14:textId="77777777" w:rsidTr="004223B3">
              <w:trPr>
                <w:trHeight w:val="41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F2F9B" w14:textId="77777777" w:rsidR="00FE7F62" w:rsidRPr="00D001DD" w:rsidRDefault="00FE7F62" w:rsidP="00FE7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A208E1" w14:textId="77777777" w:rsidR="00FE7F62" w:rsidRPr="00D001DD" w:rsidRDefault="00FE7F62" w:rsidP="00FE7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B62B9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73BE2" w14:textId="77777777" w:rsidR="00FE7F62" w:rsidRPr="00D001DD" w:rsidRDefault="00FE7F62" w:rsidP="00FE7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                     -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128E3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A79DC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</w:tr>
            <w:tr w:rsidR="00FE7F62" w:rsidRPr="00D001DD" w14:paraId="4C6C0C15" w14:textId="77777777" w:rsidTr="004223B3">
              <w:trPr>
                <w:trHeight w:val="4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26B94" w14:textId="77777777" w:rsidR="00FE7F62" w:rsidRPr="00D001DD" w:rsidRDefault="00FE7F62" w:rsidP="00FE7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B5F00C" w14:textId="77777777" w:rsidR="00FE7F62" w:rsidRPr="00D001DD" w:rsidRDefault="00FE7F62" w:rsidP="00FE7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RAZLIKA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C6C9C2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709AB" w14:textId="77777777" w:rsidR="00FE7F62" w:rsidRPr="00D001DD" w:rsidRDefault="00FE7F62" w:rsidP="00FE7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                     -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AB811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440F1" w14:textId="77777777" w:rsidR="00FE7F62" w:rsidRPr="00D001DD" w:rsidRDefault="00FE7F62" w:rsidP="00FE7F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001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</w:tr>
          </w:tbl>
          <w:p w14:paraId="733CDDA1" w14:textId="77777777" w:rsidR="009C5542" w:rsidRPr="00D001DD" w:rsidRDefault="009C5542" w:rsidP="000F057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F601B" w14:textId="77777777" w:rsidR="009C5542" w:rsidRPr="00D001DD" w:rsidRDefault="009C5542" w:rsidP="000F057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8D9A" w14:textId="77777777" w:rsidR="009C5542" w:rsidRPr="00D001DD" w:rsidRDefault="009C5542" w:rsidP="000F057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23B7" w14:textId="77777777" w:rsidR="009C5542" w:rsidRPr="00D001DD" w:rsidRDefault="009C5542" w:rsidP="000F057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5542" w:rsidRPr="001E747D" w14:paraId="292D5861" w14:textId="77777777" w:rsidTr="004223B3">
        <w:trPr>
          <w:gridAfter w:val="1"/>
          <w:wAfter w:w="222" w:type="dxa"/>
          <w:trHeight w:val="345"/>
        </w:trPr>
        <w:tc>
          <w:tcPr>
            <w:tcW w:w="199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A624" w14:textId="77777777" w:rsidR="00D001DD" w:rsidRDefault="00D001DD" w:rsidP="000F0571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D21767C" w14:textId="5D041EC7" w:rsidR="009C5542" w:rsidRPr="00FA2C98" w:rsidRDefault="009C5542" w:rsidP="000F05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A2C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B. RAČUN ZADUŽIVANJA/FINANCIRANJA</w:t>
            </w: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48B0" w14:textId="77777777" w:rsidR="009C5542" w:rsidRPr="001E747D" w:rsidRDefault="009C5542" w:rsidP="000F057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7961" w14:textId="77777777" w:rsidR="009C5542" w:rsidRPr="001E747D" w:rsidRDefault="009C5542" w:rsidP="000F057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C5542" w:rsidRPr="001E747D" w14:paraId="5C363B25" w14:textId="77777777" w:rsidTr="004223B3">
        <w:trPr>
          <w:gridAfter w:val="1"/>
          <w:wAfter w:w="222" w:type="dxa"/>
          <w:trHeight w:val="345"/>
        </w:trPr>
        <w:tc>
          <w:tcPr>
            <w:tcW w:w="85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A4486B" w14:textId="77777777" w:rsidR="009C5542" w:rsidRPr="001E747D" w:rsidRDefault="009C5542" w:rsidP="000F0571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7B2023" w14:textId="77777777" w:rsidR="009C5542" w:rsidRPr="001E747D" w:rsidRDefault="009C5542" w:rsidP="000F0571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8CD4CE" w14:textId="77777777" w:rsidR="009C5542" w:rsidRPr="001E747D" w:rsidRDefault="009C5542" w:rsidP="000F0571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CCA082" w14:textId="77777777" w:rsidR="009C5542" w:rsidRPr="001E747D" w:rsidRDefault="009C5542" w:rsidP="000F0571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C5542" w:rsidRPr="001E747D" w14:paraId="246F2684" w14:textId="77777777" w:rsidTr="004223B3">
        <w:trPr>
          <w:trHeight w:val="5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E2D1" w14:textId="7EA4D930" w:rsidR="009C5542" w:rsidRPr="00D001DD" w:rsidRDefault="009C5542" w:rsidP="000F057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1DD">
              <w:rPr>
                <w:rFonts w:ascii="Times New Roman" w:hAnsi="Times New Roman" w:cs="Times New Roman"/>
                <w:color w:val="000000"/>
              </w:rPr>
              <w:t>Izda</w:t>
            </w:r>
            <w:r w:rsidR="00FA2C98">
              <w:rPr>
                <w:rFonts w:ascii="Times New Roman" w:hAnsi="Times New Roman" w:cs="Times New Roman"/>
                <w:color w:val="000000"/>
              </w:rPr>
              <w:t>t</w:t>
            </w:r>
            <w:r w:rsidRPr="00D001DD">
              <w:rPr>
                <w:rFonts w:ascii="Times New Roman" w:hAnsi="Times New Roman" w:cs="Times New Roman"/>
                <w:color w:val="000000"/>
              </w:rPr>
              <w:t>ci za financijsku imovinu i otplate zajmova</w:t>
            </w:r>
            <w:r w:rsidR="004223B3" w:rsidRPr="00D001DD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46BE" w14:textId="23EDB952" w:rsidR="009C5542" w:rsidRPr="001E747D" w:rsidRDefault="003654C0" w:rsidP="000F0571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A033" w14:textId="71EB3B2E" w:rsidR="009C5542" w:rsidRPr="001E747D" w:rsidRDefault="003654C0" w:rsidP="000F0571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6859" w14:textId="684A3CFC" w:rsidR="009C5542" w:rsidRPr="001E747D" w:rsidRDefault="003654C0" w:rsidP="000F0571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bottom"/>
          </w:tcPr>
          <w:p w14:paraId="7F84CB10" w14:textId="77777777" w:rsidR="009C5542" w:rsidRPr="001E747D" w:rsidRDefault="009C5542" w:rsidP="000F0571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C5542" w:rsidRPr="001E747D" w14:paraId="12C63B35" w14:textId="77777777" w:rsidTr="004223B3">
        <w:trPr>
          <w:gridAfter w:val="1"/>
          <w:wAfter w:w="222" w:type="dxa"/>
          <w:trHeight w:val="34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599D" w14:textId="77777777" w:rsidR="009C5542" w:rsidRPr="00D001DD" w:rsidRDefault="009C5542" w:rsidP="000F057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1DD">
              <w:rPr>
                <w:rFonts w:ascii="Times New Roman" w:hAnsi="Times New Roman" w:cs="Times New Roman"/>
                <w:color w:val="000000"/>
              </w:rPr>
              <w:t>Neto zaduživanje/financiranje</w:t>
            </w:r>
          </w:p>
        </w:tc>
        <w:tc>
          <w:tcPr>
            <w:tcW w:w="1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B6B3" w14:textId="03127155" w:rsidR="009C5542" w:rsidRPr="001E747D" w:rsidRDefault="003654C0" w:rsidP="000F0571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C2A0" w14:textId="75927EED" w:rsidR="009C5542" w:rsidRPr="001E747D" w:rsidRDefault="003654C0" w:rsidP="000F0571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468C" w14:textId="101C3B05" w:rsidR="009C5542" w:rsidRPr="001E747D" w:rsidRDefault="003654C0" w:rsidP="000F0571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9C5542" w:rsidRPr="001E747D" w14:paraId="589B0613" w14:textId="77777777" w:rsidTr="004223B3">
        <w:trPr>
          <w:gridAfter w:val="1"/>
          <w:wAfter w:w="222" w:type="dxa"/>
          <w:trHeight w:val="170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04CE" w14:textId="77777777" w:rsidR="00D001DD" w:rsidRPr="00D001DD" w:rsidRDefault="00D001DD" w:rsidP="000147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DA2BA1" w14:textId="1DA77150" w:rsidR="009C5542" w:rsidRPr="00D001DD" w:rsidRDefault="00D91DCD" w:rsidP="00D001D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 izvornom planu, kao i  </w:t>
            </w:r>
            <w:proofErr w:type="spellStart"/>
            <w:r w:rsidRPr="00D0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="00D0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0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rebalansu nije predviđeno </w:t>
            </w:r>
            <w:r w:rsidR="00014703" w:rsidRPr="00D0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zaduživanje i financiranje na računu zaduživanja i financiranja.</w:t>
            </w:r>
          </w:p>
        </w:tc>
        <w:tc>
          <w:tcPr>
            <w:tcW w:w="1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B55A" w14:textId="77777777" w:rsidR="009C5542" w:rsidRPr="001E747D" w:rsidRDefault="009C5542" w:rsidP="000F057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0CD2" w14:textId="77777777" w:rsidR="009C5542" w:rsidRPr="001E747D" w:rsidRDefault="009C5542" w:rsidP="000F057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A6F0" w14:textId="77777777" w:rsidR="009C5542" w:rsidRPr="001E747D" w:rsidRDefault="009C5542" w:rsidP="000F057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91DCD" w:rsidRPr="001E747D" w14:paraId="304D1842" w14:textId="77777777" w:rsidTr="004223B3">
        <w:trPr>
          <w:gridAfter w:val="1"/>
          <w:wAfter w:w="222" w:type="dxa"/>
          <w:trHeight w:val="170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9459" w14:textId="77777777" w:rsidR="00D91DCD" w:rsidRPr="00D001DD" w:rsidRDefault="00D91DCD" w:rsidP="000F057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DD394" w14:textId="77777777" w:rsidR="00D91DCD" w:rsidRPr="001E747D" w:rsidRDefault="00D91DCD" w:rsidP="000F057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AA5EA" w14:textId="77777777" w:rsidR="00D91DCD" w:rsidRPr="001E747D" w:rsidRDefault="00D91DCD" w:rsidP="000F057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BD0FC" w14:textId="77777777" w:rsidR="00D91DCD" w:rsidRPr="001E747D" w:rsidRDefault="00D91DCD" w:rsidP="000F057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E3A7E" w:rsidRPr="001E747D" w14:paraId="007DCAA5" w14:textId="77777777" w:rsidTr="004223B3">
        <w:trPr>
          <w:gridAfter w:val="1"/>
          <w:wAfter w:w="222" w:type="dxa"/>
          <w:trHeight w:val="70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EC48" w14:textId="2A97C863" w:rsidR="009E3A7E" w:rsidRPr="00D001DD" w:rsidRDefault="009E3A7E" w:rsidP="009E3A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UKUPNO PROMJENA PRORAČUNA </w:t>
            </w:r>
          </w:p>
        </w:tc>
        <w:tc>
          <w:tcPr>
            <w:tcW w:w="1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56C7" w14:textId="77777777" w:rsidR="009E3A7E" w:rsidRPr="001E747D" w:rsidRDefault="009E3A7E" w:rsidP="009E3A7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FB37" w14:textId="77777777" w:rsidR="009E3A7E" w:rsidRPr="001E747D" w:rsidRDefault="009E3A7E" w:rsidP="009E3A7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4E89" w14:textId="77777777" w:rsidR="009E3A7E" w:rsidRPr="001E747D" w:rsidRDefault="009E3A7E" w:rsidP="009E3A7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E3A7E" w:rsidRPr="001E747D" w14:paraId="7C58F296" w14:textId="77777777" w:rsidTr="004223B3">
        <w:trPr>
          <w:gridAfter w:val="1"/>
          <w:wAfter w:w="222" w:type="dxa"/>
          <w:trHeight w:val="345"/>
        </w:trPr>
        <w:tc>
          <w:tcPr>
            <w:tcW w:w="23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06" w:type="dxa"/>
              <w:tblInd w:w="118" w:type="dxa"/>
              <w:tblLook w:val="04A0" w:firstRow="1" w:lastRow="0" w:firstColumn="1" w:lastColumn="0" w:noHBand="0" w:noVBand="1"/>
            </w:tblPr>
            <w:tblGrid>
              <w:gridCol w:w="9706"/>
            </w:tblGrid>
            <w:tr w:rsidR="009E3A7E" w:rsidRPr="00D001DD" w14:paraId="50CAF6CB" w14:textId="77777777" w:rsidTr="009E3A7E">
              <w:trPr>
                <w:trHeight w:val="345"/>
              </w:trPr>
              <w:tc>
                <w:tcPr>
                  <w:tcW w:w="9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56995" w14:textId="4A5E76FA" w:rsidR="009E3A7E" w:rsidRPr="00D001DD" w:rsidRDefault="009E3A7E" w:rsidP="009E3A7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1D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UKUPNO PRIHODI I PRIMI</w:t>
                  </w:r>
                  <w:r w:rsidR="00D001D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T</w:t>
                  </w:r>
                  <w:r w:rsidRPr="00D001D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CI                      32.438,49         -   3.571,01       -11,01 %          28,867,48</w:t>
                  </w:r>
                </w:p>
              </w:tc>
            </w:tr>
            <w:tr w:rsidR="009E3A7E" w:rsidRPr="00D001DD" w14:paraId="19B00A09" w14:textId="77777777" w:rsidTr="009E3A7E">
              <w:trPr>
                <w:trHeight w:val="345"/>
              </w:trPr>
              <w:tc>
                <w:tcPr>
                  <w:tcW w:w="9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AAE87" w14:textId="250721C6" w:rsidR="009E3A7E" w:rsidRPr="00D001DD" w:rsidRDefault="009E3A7E" w:rsidP="009E3A7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1D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UKUPNO RASHODI I IZDA</w:t>
                  </w:r>
                  <w:r w:rsidR="00D001D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T</w:t>
                  </w:r>
                  <w:r w:rsidRPr="00D001D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CI                      32.438,49         -   3.571,01       -11,01 %          28.867,48</w:t>
                  </w:r>
                </w:p>
              </w:tc>
            </w:tr>
          </w:tbl>
          <w:p w14:paraId="74D3CC7E" w14:textId="77777777" w:rsidR="009E3A7E" w:rsidRPr="00D001DD" w:rsidRDefault="009E3A7E" w:rsidP="009E3A7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A7E" w:rsidRPr="001E747D" w14:paraId="686C13F5" w14:textId="77777777" w:rsidTr="004223B3">
        <w:trPr>
          <w:gridAfter w:val="1"/>
          <w:wAfter w:w="222" w:type="dxa"/>
          <w:trHeight w:val="66"/>
        </w:trPr>
        <w:tc>
          <w:tcPr>
            <w:tcW w:w="850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5F50C3" w14:textId="77777777" w:rsidR="009E3A7E" w:rsidRPr="001E747D" w:rsidRDefault="009E3A7E" w:rsidP="009E3A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443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AA34D1" w14:textId="77777777" w:rsidR="009E3A7E" w:rsidRPr="001E747D" w:rsidRDefault="009E3A7E" w:rsidP="009E3A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B8DFAA" w14:textId="77777777" w:rsidR="009E3A7E" w:rsidRPr="001E747D" w:rsidRDefault="009E3A7E" w:rsidP="009E3A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6936E8" w14:textId="77777777" w:rsidR="009E3A7E" w:rsidRPr="001E747D" w:rsidRDefault="009E3A7E" w:rsidP="009E3A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E3A7E" w:rsidRPr="001E747D" w14:paraId="2BAC4BDA" w14:textId="77777777" w:rsidTr="004223B3">
        <w:trPr>
          <w:gridAfter w:val="1"/>
          <w:wAfter w:w="222" w:type="dxa"/>
          <w:trHeight w:val="345"/>
        </w:trPr>
        <w:tc>
          <w:tcPr>
            <w:tcW w:w="850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68841" w14:textId="77777777" w:rsidR="009E3A7E" w:rsidRPr="001E747D" w:rsidRDefault="009E3A7E" w:rsidP="009E3A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443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5EED1" w14:textId="77777777" w:rsidR="009E3A7E" w:rsidRPr="001E747D" w:rsidRDefault="009E3A7E" w:rsidP="009E3A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E747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B387" w14:textId="77777777" w:rsidR="009E3A7E" w:rsidRPr="001E747D" w:rsidRDefault="009E3A7E" w:rsidP="009E3A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EEF3A" w14:textId="77777777" w:rsidR="009E3A7E" w:rsidRPr="001E747D" w:rsidRDefault="009E3A7E" w:rsidP="009E3A7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E747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E3A7E" w:rsidRPr="001E747D" w14:paraId="6B0A8300" w14:textId="77777777" w:rsidTr="004223B3">
        <w:trPr>
          <w:gridAfter w:val="1"/>
          <w:wAfter w:w="222" w:type="dxa"/>
          <w:trHeight w:val="345"/>
        </w:trPr>
        <w:tc>
          <w:tcPr>
            <w:tcW w:w="850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D1FE62" w14:textId="77777777" w:rsidR="009E3A7E" w:rsidRPr="001E747D" w:rsidRDefault="009E3A7E" w:rsidP="009E3A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443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18C46D" w14:textId="77777777" w:rsidR="009E3A7E" w:rsidRPr="001E747D" w:rsidRDefault="009E3A7E" w:rsidP="009E3A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466BC" w14:textId="77777777" w:rsidR="009E3A7E" w:rsidRPr="001E747D" w:rsidRDefault="009E3A7E" w:rsidP="009E3A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560BAB" w14:textId="77777777" w:rsidR="009E3A7E" w:rsidRPr="001E747D" w:rsidRDefault="009E3A7E" w:rsidP="009E3A7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3A7E" w:rsidRPr="001E747D" w14:paraId="5DD8D5FD" w14:textId="77777777" w:rsidTr="004223B3">
        <w:trPr>
          <w:gridAfter w:val="1"/>
          <w:wAfter w:w="222" w:type="dxa"/>
          <w:trHeight w:val="345"/>
        </w:trPr>
        <w:tc>
          <w:tcPr>
            <w:tcW w:w="8506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6097DFC0" w14:textId="77777777" w:rsidR="009E3A7E" w:rsidRDefault="009E3A7E" w:rsidP="009E3A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0060F9A6" w14:textId="77777777" w:rsidR="00FA2C98" w:rsidRDefault="00FA2C98" w:rsidP="009E3A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385C1E28" w14:textId="77777777" w:rsidR="00FA2C98" w:rsidRDefault="00FA2C98" w:rsidP="009E3A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5F386E4E" w14:textId="77777777" w:rsidR="00FA2C98" w:rsidRDefault="00FA2C98" w:rsidP="009E3A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19F1E280" w14:textId="77777777" w:rsidR="00FA2C98" w:rsidRDefault="00FA2C98" w:rsidP="009E3A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42F42BDA" w14:textId="77777777" w:rsidR="00FA2C98" w:rsidRDefault="00FA2C98" w:rsidP="009E3A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28A1A9BC" w14:textId="77777777" w:rsidR="00FA2C98" w:rsidRDefault="00FA2C98" w:rsidP="009E3A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63F25907" w14:textId="77777777" w:rsidR="00FA2C98" w:rsidRDefault="00FA2C98" w:rsidP="009E3A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4876B219" w14:textId="77777777" w:rsidR="00FA2C98" w:rsidRPr="001E747D" w:rsidRDefault="00FA2C98" w:rsidP="009E3A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443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C9B4D31" w14:textId="77777777" w:rsidR="009E3A7E" w:rsidRPr="001E747D" w:rsidRDefault="009E3A7E" w:rsidP="009E3A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CECF7B0" w14:textId="77777777" w:rsidR="009E3A7E" w:rsidRPr="001E747D" w:rsidRDefault="009E3A7E" w:rsidP="009E3A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9E6FF30" w14:textId="77777777" w:rsidR="009E3A7E" w:rsidRPr="001E747D" w:rsidRDefault="009E3A7E" w:rsidP="009E3A7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14703" w:rsidRPr="001E747D" w14:paraId="1A527842" w14:textId="77777777" w:rsidTr="004223B3">
        <w:trPr>
          <w:gridAfter w:val="1"/>
          <w:wAfter w:w="222" w:type="dxa"/>
          <w:trHeight w:val="80"/>
        </w:trPr>
        <w:tc>
          <w:tcPr>
            <w:tcW w:w="850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465C3D" w14:textId="77777777" w:rsidR="00014703" w:rsidRPr="001E747D" w:rsidRDefault="00014703" w:rsidP="009E3A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443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4D4A87" w14:textId="77777777" w:rsidR="00014703" w:rsidRPr="001E747D" w:rsidRDefault="00014703" w:rsidP="009E3A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109FD" w14:textId="77777777" w:rsidR="00014703" w:rsidRPr="001E747D" w:rsidRDefault="00014703" w:rsidP="009E3A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590CF2" w14:textId="77777777" w:rsidR="00014703" w:rsidRPr="001E747D" w:rsidRDefault="00014703" w:rsidP="009E3A7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2B0596CC" w14:textId="634E518F" w:rsidR="009C5542" w:rsidRPr="00FA2C98" w:rsidRDefault="009C5542" w:rsidP="001131C4">
      <w:p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C98">
        <w:rPr>
          <w:rFonts w:ascii="Times New Roman" w:hAnsi="Times New Roman" w:cs="Times New Roman"/>
          <w:b/>
          <w:bCs/>
          <w:sz w:val="24"/>
          <w:szCs w:val="24"/>
        </w:rPr>
        <w:lastRenderedPageBreak/>
        <w:t>PRIHODI</w:t>
      </w:r>
      <w:r w:rsidR="00627B52" w:rsidRPr="00FA2C98">
        <w:rPr>
          <w:rFonts w:ascii="Times New Roman" w:hAnsi="Times New Roman" w:cs="Times New Roman"/>
          <w:b/>
          <w:bCs/>
          <w:sz w:val="24"/>
          <w:szCs w:val="24"/>
        </w:rPr>
        <w:t xml:space="preserve"> I PRIMI</w:t>
      </w:r>
      <w:r w:rsidR="00FA2C98" w:rsidRPr="00FA2C9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27B52" w:rsidRPr="00FA2C98">
        <w:rPr>
          <w:rFonts w:ascii="Times New Roman" w:hAnsi="Times New Roman" w:cs="Times New Roman"/>
          <w:b/>
          <w:bCs/>
          <w:sz w:val="24"/>
          <w:szCs w:val="24"/>
        </w:rPr>
        <w:t xml:space="preserve">CI </w:t>
      </w:r>
    </w:p>
    <w:p w14:paraId="7A3AA2DA" w14:textId="6B447EF9" w:rsidR="00BC7EB1" w:rsidRDefault="00BC7EB1" w:rsidP="00BC7EB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C98">
        <w:rPr>
          <w:rFonts w:ascii="Times New Roman" w:hAnsi="Times New Roman" w:cs="Times New Roman"/>
          <w:bCs/>
          <w:sz w:val="24"/>
          <w:szCs w:val="24"/>
        </w:rPr>
        <w:t xml:space="preserve">Izmjena i dopuna  prihoda </w:t>
      </w:r>
      <w:r w:rsidR="003654C0" w:rsidRPr="00FA2C98">
        <w:rPr>
          <w:rFonts w:ascii="Times New Roman" w:hAnsi="Times New Roman" w:cs="Times New Roman"/>
          <w:bCs/>
          <w:sz w:val="24"/>
          <w:szCs w:val="24"/>
        </w:rPr>
        <w:t>Javne ustanove narodne knj</w:t>
      </w:r>
      <w:r w:rsidR="00225906" w:rsidRPr="00FA2C98">
        <w:rPr>
          <w:rFonts w:ascii="Times New Roman" w:hAnsi="Times New Roman" w:cs="Times New Roman"/>
          <w:bCs/>
          <w:sz w:val="24"/>
          <w:szCs w:val="24"/>
        </w:rPr>
        <w:t>ižnice i čitaonice Gunja za 2023</w:t>
      </w:r>
      <w:r w:rsidR="003654C0" w:rsidRPr="00FA2C98">
        <w:rPr>
          <w:rFonts w:ascii="Times New Roman" w:hAnsi="Times New Roman" w:cs="Times New Roman"/>
          <w:bCs/>
          <w:sz w:val="24"/>
          <w:szCs w:val="24"/>
        </w:rPr>
        <w:t>. godinu</w:t>
      </w:r>
    </w:p>
    <w:p w14:paraId="6228329C" w14:textId="77777777" w:rsidR="00FA2C98" w:rsidRPr="00FA2C98" w:rsidRDefault="00FA2C98" w:rsidP="00BC7EB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40" w:type="dxa"/>
        <w:tblLook w:val="04A0" w:firstRow="1" w:lastRow="0" w:firstColumn="1" w:lastColumn="0" w:noHBand="0" w:noVBand="1"/>
      </w:tblPr>
      <w:tblGrid>
        <w:gridCol w:w="1097"/>
        <w:gridCol w:w="3586"/>
        <w:gridCol w:w="1670"/>
        <w:gridCol w:w="1359"/>
        <w:gridCol w:w="1066"/>
        <w:gridCol w:w="1462"/>
      </w:tblGrid>
      <w:tr w:rsidR="00225906" w:rsidRPr="00225906" w14:paraId="6572BD7D" w14:textId="77777777" w:rsidTr="00225906">
        <w:trPr>
          <w:trHeight w:val="315"/>
        </w:trPr>
        <w:tc>
          <w:tcPr>
            <w:tcW w:w="9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2EB75" w14:textId="77777777" w:rsidR="00225906" w:rsidRPr="00225906" w:rsidRDefault="0022590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25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FCB63" w14:textId="77777777" w:rsidR="00225906" w:rsidRPr="00225906" w:rsidRDefault="0022590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25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A4D50" w14:textId="77777777" w:rsidR="00225906" w:rsidRPr="00225906" w:rsidRDefault="0022590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25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4C051" w14:textId="77777777" w:rsidR="00225906" w:rsidRPr="00225906" w:rsidRDefault="00225906" w:rsidP="00225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259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PROMJENA</w:t>
            </w:r>
          </w:p>
        </w:tc>
      </w:tr>
      <w:tr w:rsidR="00225906" w:rsidRPr="00225906" w14:paraId="7BF0B6C0" w14:textId="77777777" w:rsidTr="00225906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7DDC4AFC" w14:textId="77777777" w:rsidR="00225906" w:rsidRPr="00FA2C98" w:rsidRDefault="0022590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KONTA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73598F1" w14:textId="77777777" w:rsidR="00225906" w:rsidRPr="00FA2C98" w:rsidRDefault="0022590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PRIHODA / RASHODA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2E38FE8A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B89B552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IZNOS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CFDE5AD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361045A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NOVI IZNOS</w:t>
            </w:r>
          </w:p>
        </w:tc>
      </w:tr>
      <w:tr w:rsidR="00225906" w:rsidRPr="00225906" w14:paraId="37EBE42A" w14:textId="77777777" w:rsidTr="0022590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FDD95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48474" w14:textId="77777777" w:rsidR="00225906" w:rsidRPr="00FA2C98" w:rsidRDefault="0022590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A427C" w14:textId="77777777" w:rsidR="00225906" w:rsidRPr="00FA2C98" w:rsidRDefault="0022590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58210" w14:textId="77777777" w:rsidR="00225906" w:rsidRPr="00FA2C98" w:rsidRDefault="0022590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B72AF" w14:textId="77777777" w:rsidR="00225906" w:rsidRPr="00FA2C98" w:rsidRDefault="0022590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B795E" w14:textId="77777777" w:rsidR="00225906" w:rsidRPr="00FA2C98" w:rsidRDefault="0022590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25906" w:rsidRPr="00225906" w14:paraId="000992EA" w14:textId="77777777" w:rsidTr="00225906">
        <w:trPr>
          <w:trHeight w:val="300"/>
        </w:trPr>
        <w:tc>
          <w:tcPr>
            <w:tcW w:w="6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F9CF101" w14:textId="17BFE955" w:rsidR="00225906" w:rsidRPr="00FA2C98" w:rsidRDefault="0022590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A. RAČUN PRIHODA /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72D693B8" w14:textId="77777777" w:rsidR="00225906" w:rsidRPr="00FA2C98" w:rsidRDefault="0022590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2CEDEA76" w14:textId="77777777" w:rsidR="00225906" w:rsidRPr="00FA2C98" w:rsidRDefault="0022590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3E488B02" w14:textId="77777777" w:rsidR="00225906" w:rsidRPr="00FA2C98" w:rsidRDefault="0022590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25906" w:rsidRPr="00225906" w14:paraId="0D0FDBE9" w14:textId="77777777" w:rsidTr="0022590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A55BD8E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65599F3" w14:textId="77777777" w:rsidR="00225906" w:rsidRPr="00FA2C98" w:rsidRDefault="0022590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Prihodi poslovanja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CFFCA99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32.438,49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C0C36A1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-3.571,01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B98873E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-11,01%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5893DAC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28.867,48</w:t>
            </w:r>
          </w:p>
        </w:tc>
      </w:tr>
      <w:tr w:rsidR="00225906" w:rsidRPr="00225906" w14:paraId="65523D08" w14:textId="77777777" w:rsidTr="00225906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426C1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63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F7AED" w14:textId="77777777" w:rsidR="00225906" w:rsidRPr="00FA2C98" w:rsidRDefault="0022590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Pomoći iz inozemstva i od subjekata unutar općeg proračuna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BB481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6.072,07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8B3F9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-752,17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D1BB8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-12,39%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D2787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5.319,90</w:t>
            </w:r>
          </w:p>
        </w:tc>
      </w:tr>
      <w:tr w:rsidR="00225906" w:rsidRPr="00225906" w14:paraId="0A127DDF" w14:textId="77777777" w:rsidTr="0022590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C57B1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64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CD779" w14:textId="77777777" w:rsidR="00225906" w:rsidRPr="00FA2C98" w:rsidRDefault="0022590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Prihodi od imovine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3234F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E6C30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-0,09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922CA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-81,82%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85F72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0,02</w:t>
            </w:r>
          </w:p>
        </w:tc>
      </w:tr>
      <w:tr w:rsidR="00225906" w:rsidRPr="00225906" w14:paraId="4F377D11" w14:textId="77777777" w:rsidTr="00225906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3853E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65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B5BF7" w14:textId="77777777" w:rsidR="00225906" w:rsidRPr="00FA2C98" w:rsidRDefault="0022590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3CE4D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132,72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E39F6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-32,72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271FA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-24,65%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B54F9" w14:textId="0121C10D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100,00</w:t>
            </w:r>
          </w:p>
        </w:tc>
      </w:tr>
      <w:tr w:rsidR="00225906" w:rsidRPr="00225906" w14:paraId="3710232A" w14:textId="77777777" w:rsidTr="00225906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5E040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67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8C062" w14:textId="77777777" w:rsidR="00225906" w:rsidRPr="00FA2C98" w:rsidRDefault="0022590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Prihodi iz nadležnog proračuna i od HZZO na temelju ugovornih obveza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92DDE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26.233,59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17551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-2.786,03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E6BD6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-10,62%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BA830" w14:textId="77777777" w:rsidR="00225906" w:rsidRPr="00FA2C98" w:rsidRDefault="0022590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A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23.447,56</w:t>
            </w:r>
          </w:p>
        </w:tc>
      </w:tr>
    </w:tbl>
    <w:p w14:paraId="5E772BCE" w14:textId="77777777" w:rsidR="009E3A7E" w:rsidRDefault="009E3A7E" w:rsidP="009E3A7E">
      <w:p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941055A" w14:textId="2315A9C7" w:rsidR="009E3A7E" w:rsidRPr="003654C0" w:rsidRDefault="009E3A7E" w:rsidP="009E3A7E">
      <w:pPr>
        <w:spacing w:after="20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63 </w:t>
      </w:r>
      <w:r w:rsidRPr="003654C0">
        <w:rPr>
          <w:rFonts w:ascii="Times New Roman" w:hAnsi="Times New Roman" w:cs="Times New Roman"/>
          <w:b/>
          <w:bCs/>
          <w:sz w:val="24"/>
        </w:rPr>
        <w:t xml:space="preserve">Prihodi od pomoći </w:t>
      </w:r>
      <w:r>
        <w:rPr>
          <w:rFonts w:ascii="Times New Roman" w:hAnsi="Times New Roman" w:cs="Times New Roman"/>
          <w:bCs/>
          <w:sz w:val="24"/>
        </w:rPr>
        <w:t>su smanjeni u odnosu na financijski plan za 2023. godinu i sada iznose 5.319,90 eur</w:t>
      </w:r>
      <w:r w:rsidR="00966871">
        <w:rPr>
          <w:rFonts w:ascii="Times New Roman" w:hAnsi="Times New Roman" w:cs="Times New Roman"/>
          <w:bCs/>
          <w:sz w:val="24"/>
        </w:rPr>
        <w:t>a</w:t>
      </w:r>
      <w:r>
        <w:rPr>
          <w:rFonts w:ascii="Times New Roman" w:hAnsi="Times New Roman" w:cs="Times New Roman"/>
          <w:bCs/>
          <w:sz w:val="24"/>
        </w:rPr>
        <w:t>, a odnose se na pomoći iz proračuna VSŽ (600,00 eur</w:t>
      </w:r>
      <w:r w:rsidR="00966871">
        <w:rPr>
          <w:rFonts w:ascii="Times New Roman" w:hAnsi="Times New Roman" w:cs="Times New Roman"/>
          <w:bCs/>
          <w:sz w:val="24"/>
        </w:rPr>
        <w:t>a</w:t>
      </w:r>
      <w:r>
        <w:rPr>
          <w:rFonts w:ascii="Times New Roman" w:hAnsi="Times New Roman" w:cs="Times New Roman"/>
          <w:bCs/>
          <w:sz w:val="24"/>
        </w:rPr>
        <w:t>) i pomoći od Ministarstva kulture (4.719,90 eur</w:t>
      </w:r>
      <w:r w:rsidR="00966871">
        <w:rPr>
          <w:rFonts w:ascii="Times New Roman" w:hAnsi="Times New Roman" w:cs="Times New Roman"/>
          <w:bCs/>
          <w:sz w:val="24"/>
        </w:rPr>
        <w:t>a</w:t>
      </w:r>
      <w:r>
        <w:rPr>
          <w:rFonts w:ascii="Times New Roman" w:hAnsi="Times New Roman" w:cs="Times New Roman"/>
          <w:bCs/>
          <w:sz w:val="24"/>
        </w:rPr>
        <w:t>).</w:t>
      </w:r>
    </w:p>
    <w:p w14:paraId="76E4FD52" w14:textId="111F0EBD" w:rsidR="009E3A7E" w:rsidRDefault="00D91DCD" w:rsidP="009E3A7E">
      <w:pPr>
        <w:spacing w:after="20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64 </w:t>
      </w:r>
      <w:r w:rsidR="009E3A7E" w:rsidRPr="003654C0">
        <w:rPr>
          <w:rFonts w:ascii="Times New Roman" w:hAnsi="Times New Roman" w:cs="Times New Roman"/>
          <w:b/>
          <w:bCs/>
          <w:sz w:val="24"/>
        </w:rPr>
        <w:t xml:space="preserve">Prihodi od imovine </w:t>
      </w:r>
      <w:r w:rsidR="009E3A7E" w:rsidRPr="003654C0">
        <w:rPr>
          <w:rFonts w:ascii="Times New Roman" w:hAnsi="Times New Roman" w:cs="Times New Roman"/>
          <w:bCs/>
          <w:sz w:val="24"/>
        </w:rPr>
        <w:t>smanjeni su u od</w:t>
      </w:r>
      <w:r>
        <w:rPr>
          <w:rFonts w:ascii="Times New Roman" w:hAnsi="Times New Roman" w:cs="Times New Roman"/>
          <w:bCs/>
          <w:sz w:val="24"/>
        </w:rPr>
        <w:t>nosu na financijski plan za 2023</w:t>
      </w:r>
      <w:r w:rsidR="009E3A7E" w:rsidRPr="003654C0">
        <w:rPr>
          <w:rFonts w:ascii="Times New Roman" w:hAnsi="Times New Roman" w:cs="Times New Roman"/>
          <w:bCs/>
          <w:sz w:val="24"/>
        </w:rPr>
        <w:t>.</w:t>
      </w:r>
      <w:r w:rsidR="009E3A7E">
        <w:rPr>
          <w:rFonts w:ascii="Times New Roman" w:hAnsi="Times New Roman" w:cs="Times New Roman"/>
          <w:bCs/>
          <w:sz w:val="24"/>
        </w:rPr>
        <w:t xml:space="preserve"> </w:t>
      </w:r>
      <w:r w:rsidR="009E3A7E" w:rsidRPr="003654C0">
        <w:rPr>
          <w:rFonts w:ascii="Times New Roman" w:hAnsi="Times New Roman" w:cs="Times New Roman"/>
          <w:bCs/>
          <w:sz w:val="24"/>
        </w:rPr>
        <w:t>godinu</w:t>
      </w:r>
      <w:r>
        <w:rPr>
          <w:rFonts w:ascii="Times New Roman" w:hAnsi="Times New Roman" w:cs="Times New Roman"/>
          <w:bCs/>
          <w:sz w:val="24"/>
        </w:rPr>
        <w:t xml:space="preserve"> i iznose 1</w:t>
      </w:r>
      <w:r w:rsidR="009E3A7E">
        <w:rPr>
          <w:rFonts w:ascii="Times New Roman" w:hAnsi="Times New Roman" w:cs="Times New Roman"/>
          <w:bCs/>
          <w:sz w:val="24"/>
        </w:rPr>
        <w:t>00,00 eur</w:t>
      </w:r>
      <w:r w:rsidR="00966871">
        <w:rPr>
          <w:rFonts w:ascii="Times New Roman" w:hAnsi="Times New Roman" w:cs="Times New Roman"/>
          <w:bCs/>
          <w:sz w:val="24"/>
        </w:rPr>
        <w:t>a</w:t>
      </w:r>
      <w:r w:rsidR="009E3A7E">
        <w:rPr>
          <w:rFonts w:ascii="Times New Roman" w:hAnsi="Times New Roman" w:cs="Times New Roman"/>
          <w:bCs/>
          <w:sz w:val="24"/>
        </w:rPr>
        <w:t>, a odnose se na prihode od kamata</w:t>
      </w:r>
      <w:r>
        <w:rPr>
          <w:rFonts w:ascii="Times New Roman" w:hAnsi="Times New Roman" w:cs="Times New Roman"/>
          <w:bCs/>
          <w:sz w:val="24"/>
        </w:rPr>
        <w:t>.</w:t>
      </w:r>
    </w:p>
    <w:p w14:paraId="470B1740" w14:textId="38A4C42F" w:rsidR="00D91DCD" w:rsidRPr="00D91DCD" w:rsidRDefault="00D91DCD" w:rsidP="009C5542">
      <w:pPr>
        <w:spacing w:after="20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65 Prihodi od upravnih i administrativnih pristojbi po posebnim propisima </w:t>
      </w:r>
      <w:r w:rsidRPr="00D91DCD">
        <w:rPr>
          <w:rFonts w:ascii="Times New Roman" w:hAnsi="Times New Roman" w:cs="Times New Roman"/>
          <w:bCs/>
          <w:sz w:val="24"/>
        </w:rPr>
        <w:t>smanjeni su u odnosu na financijski plan za 2023.</w:t>
      </w:r>
      <w:r w:rsidR="00966871">
        <w:rPr>
          <w:rFonts w:ascii="Times New Roman" w:hAnsi="Times New Roman" w:cs="Times New Roman"/>
          <w:bCs/>
          <w:sz w:val="24"/>
        </w:rPr>
        <w:t xml:space="preserve"> </w:t>
      </w:r>
      <w:r w:rsidRPr="00D91DCD">
        <w:rPr>
          <w:rFonts w:ascii="Times New Roman" w:hAnsi="Times New Roman" w:cs="Times New Roman"/>
          <w:bCs/>
          <w:sz w:val="24"/>
        </w:rPr>
        <w:t>g</w:t>
      </w:r>
      <w:r w:rsidR="00966871">
        <w:rPr>
          <w:rFonts w:ascii="Times New Roman" w:hAnsi="Times New Roman" w:cs="Times New Roman"/>
          <w:bCs/>
          <w:sz w:val="24"/>
        </w:rPr>
        <w:t>odinu</w:t>
      </w:r>
      <w:r w:rsidRPr="00D91DCD">
        <w:rPr>
          <w:rFonts w:ascii="Times New Roman" w:hAnsi="Times New Roman" w:cs="Times New Roman"/>
          <w:bCs/>
          <w:sz w:val="24"/>
        </w:rPr>
        <w:t xml:space="preserve"> i sada iznose 100,00 eur</w:t>
      </w:r>
      <w:r w:rsidR="00966871">
        <w:rPr>
          <w:rFonts w:ascii="Times New Roman" w:hAnsi="Times New Roman" w:cs="Times New Roman"/>
          <w:bCs/>
          <w:sz w:val="24"/>
        </w:rPr>
        <w:t>a</w:t>
      </w:r>
    </w:p>
    <w:p w14:paraId="5577FB9D" w14:textId="6FA5DBB1" w:rsidR="009C5542" w:rsidRPr="003654C0" w:rsidRDefault="009E3A7E" w:rsidP="009C5542">
      <w:p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67 </w:t>
      </w:r>
      <w:r w:rsidR="002F302E" w:rsidRPr="003654C0">
        <w:rPr>
          <w:rFonts w:ascii="Times New Roman" w:hAnsi="Times New Roman" w:cs="Times New Roman"/>
          <w:b/>
          <w:bCs/>
          <w:sz w:val="24"/>
        </w:rPr>
        <w:t>Prihodi iz</w:t>
      </w:r>
      <w:r w:rsidR="003654C0" w:rsidRPr="003654C0">
        <w:rPr>
          <w:rFonts w:ascii="Times New Roman" w:hAnsi="Times New Roman" w:cs="Times New Roman"/>
          <w:b/>
          <w:bCs/>
          <w:sz w:val="24"/>
        </w:rPr>
        <w:t xml:space="preserve"> nadležnog</w:t>
      </w:r>
      <w:r w:rsidR="009C5542" w:rsidRPr="003654C0">
        <w:rPr>
          <w:rFonts w:ascii="Times New Roman" w:hAnsi="Times New Roman" w:cs="Times New Roman"/>
          <w:b/>
          <w:bCs/>
          <w:sz w:val="24"/>
        </w:rPr>
        <w:t xml:space="preserve"> proračuna </w:t>
      </w:r>
      <w:r w:rsidR="003654C0" w:rsidRPr="003654C0">
        <w:rPr>
          <w:rFonts w:ascii="Times New Roman" w:hAnsi="Times New Roman" w:cs="Times New Roman"/>
          <w:b/>
          <w:bCs/>
          <w:sz w:val="24"/>
        </w:rPr>
        <w:t xml:space="preserve">- </w:t>
      </w:r>
      <w:r w:rsidR="002F302E" w:rsidRPr="003654C0">
        <w:rPr>
          <w:rFonts w:ascii="Times New Roman" w:hAnsi="Times New Roman" w:cs="Times New Roman"/>
          <w:bCs/>
          <w:sz w:val="24"/>
        </w:rPr>
        <w:t xml:space="preserve">Općine Gunja </w:t>
      </w:r>
      <w:r w:rsidR="009C5542" w:rsidRPr="003654C0">
        <w:rPr>
          <w:rFonts w:ascii="Times New Roman" w:hAnsi="Times New Roman" w:cs="Times New Roman"/>
          <w:bCs/>
          <w:sz w:val="24"/>
        </w:rPr>
        <w:t xml:space="preserve">(opći prihodi) su </w:t>
      </w:r>
      <w:r w:rsidR="002F302E" w:rsidRPr="003654C0">
        <w:rPr>
          <w:rFonts w:ascii="Times New Roman" w:hAnsi="Times New Roman" w:cs="Times New Roman"/>
          <w:bCs/>
          <w:sz w:val="24"/>
        </w:rPr>
        <w:t>smanjeni</w:t>
      </w:r>
      <w:r w:rsidR="004223B3">
        <w:rPr>
          <w:rFonts w:ascii="Times New Roman" w:hAnsi="Times New Roman" w:cs="Times New Roman"/>
          <w:bCs/>
          <w:sz w:val="24"/>
        </w:rPr>
        <w:t xml:space="preserve"> za 2.786,03 eur</w:t>
      </w:r>
      <w:r w:rsidR="00966871">
        <w:rPr>
          <w:rFonts w:ascii="Times New Roman" w:hAnsi="Times New Roman" w:cs="Times New Roman"/>
          <w:bCs/>
          <w:sz w:val="24"/>
        </w:rPr>
        <w:t xml:space="preserve">a </w:t>
      </w:r>
      <w:r w:rsidR="003654C0" w:rsidRPr="003654C0">
        <w:rPr>
          <w:rFonts w:ascii="Times New Roman" w:hAnsi="Times New Roman" w:cs="Times New Roman"/>
          <w:bCs/>
          <w:sz w:val="24"/>
        </w:rPr>
        <w:t>u od</w:t>
      </w:r>
      <w:r w:rsidR="00225906">
        <w:rPr>
          <w:rFonts w:ascii="Times New Roman" w:hAnsi="Times New Roman" w:cs="Times New Roman"/>
          <w:bCs/>
          <w:sz w:val="24"/>
        </w:rPr>
        <w:t>nosu na financijski plan za 2023</w:t>
      </w:r>
      <w:r w:rsidR="003654C0" w:rsidRPr="003654C0">
        <w:rPr>
          <w:rFonts w:ascii="Times New Roman" w:hAnsi="Times New Roman" w:cs="Times New Roman"/>
          <w:bCs/>
          <w:sz w:val="24"/>
        </w:rPr>
        <w:t xml:space="preserve">. godinu </w:t>
      </w:r>
      <w:r w:rsidR="000119D3">
        <w:rPr>
          <w:rFonts w:ascii="Times New Roman" w:hAnsi="Times New Roman" w:cs="Times New Roman"/>
          <w:bCs/>
          <w:sz w:val="24"/>
        </w:rPr>
        <w:t xml:space="preserve">i </w:t>
      </w:r>
      <w:r w:rsidR="004223B3">
        <w:rPr>
          <w:rFonts w:ascii="Times New Roman" w:hAnsi="Times New Roman" w:cs="Times New Roman"/>
          <w:bCs/>
          <w:sz w:val="24"/>
        </w:rPr>
        <w:t xml:space="preserve">sada </w:t>
      </w:r>
      <w:r w:rsidR="000119D3">
        <w:rPr>
          <w:rFonts w:ascii="Times New Roman" w:hAnsi="Times New Roman" w:cs="Times New Roman"/>
          <w:bCs/>
          <w:sz w:val="24"/>
        </w:rPr>
        <w:t>iznose 23.447,56</w:t>
      </w:r>
      <w:r w:rsidR="00225906">
        <w:rPr>
          <w:rFonts w:ascii="Times New Roman" w:hAnsi="Times New Roman" w:cs="Times New Roman"/>
          <w:bCs/>
          <w:sz w:val="24"/>
        </w:rPr>
        <w:t xml:space="preserve"> eur</w:t>
      </w:r>
      <w:r w:rsidR="00966871">
        <w:rPr>
          <w:rFonts w:ascii="Times New Roman" w:hAnsi="Times New Roman" w:cs="Times New Roman"/>
          <w:bCs/>
          <w:sz w:val="24"/>
        </w:rPr>
        <w:t>a</w:t>
      </w:r>
      <w:r w:rsidR="00225906">
        <w:rPr>
          <w:rFonts w:ascii="Times New Roman" w:hAnsi="Times New Roman" w:cs="Times New Roman"/>
          <w:bCs/>
          <w:sz w:val="24"/>
        </w:rPr>
        <w:t xml:space="preserve"> </w:t>
      </w:r>
      <w:r w:rsidR="00FC40A7" w:rsidRPr="003654C0">
        <w:rPr>
          <w:rFonts w:ascii="Times New Roman" w:hAnsi="Times New Roman" w:cs="Times New Roman"/>
          <w:b/>
          <w:bCs/>
          <w:sz w:val="24"/>
        </w:rPr>
        <w:t xml:space="preserve">. </w:t>
      </w:r>
      <w:r w:rsidR="009C5542" w:rsidRPr="003654C0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6D492B0E" w14:textId="542B8B82" w:rsidR="009C5542" w:rsidRDefault="004223B3" w:rsidP="009C554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966871">
        <w:rPr>
          <w:rFonts w:ascii="Times New Roman" w:hAnsi="Times New Roman" w:cs="Times New Roman"/>
          <w:sz w:val="24"/>
        </w:rPr>
        <w:t xml:space="preserve">Ukupni prihodi </w:t>
      </w:r>
      <w:r w:rsidR="00FC40A7" w:rsidRPr="00966871">
        <w:rPr>
          <w:rFonts w:ascii="Times New Roman" w:hAnsi="Times New Roman" w:cs="Times New Roman"/>
          <w:sz w:val="24"/>
        </w:rPr>
        <w:t xml:space="preserve"> smanjeni </w:t>
      </w:r>
      <w:r w:rsidR="00D91DCD" w:rsidRPr="00966871">
        <w:rPr>
          <w:rFonts w:ascii="Times New Roman" w:hAnsi="Times New Roman" w:cs="Times New Roman"/>
          <w:sz w:val="24"/>
        </w:rPr>
        <w:t>su za 3.571,01 eur</w:t>
      </w:r>
      <w:r w:rsidR="00966871">
        <w:rPr>
          <w:rFonts w:ascii="Times New Roman" w:hAnsi="Times New Roman" w:cs="Times New Roman"/>
          <w:sz w:val="24"/>
        </w:rPr>
        <w:t>a</w:t>
      </w:r>
      <w:r w:rsidR="00D91DCD" w:rsidRPr="00966871">
        <w:rPr>
          <w:rFonts w:ascii="Times New Roman" w:hAnsi="Times New Roman" w:cs="Times New Roman"/>
          <w:sz w:val="24"/>
        </w:rPr>
        <w:t xml:space="preserve"> </w:t>
      </w:r>
      <w:r w:rsidR="005A223D" w:rsidRPr="00966871">
        <w:rPr>
          <w:rFonts w:ascii="Times New Roman" w:hAnsi="Times New Roman" w:cs="Times New Roman"/>
          <w:sz w:val="24"/>
        </w:rPr>
        <w:t>u I</w:t>
      </w:r>
      <w:r w:rsidR="009C5542" w:rsidRPr="00966871">
        <w:rPr>
          <w:rFonts w:ascii="Times New Roman" w:hAnsi="Times New Roman" w:cs="Times New Roman"/>
          <w:sz w:val="24"/>
        </w:rPr>
        <w:t>. izmjena</w:t>
      </w:r>
      <w:r w:rsidR="005A223D" w:rsidRPr="00966871">
        <w:rPr>
          <w:rFonts w:ascii="Times New Roman" w:hAnsi="Times New Roman" w:cs="Times New Roman"/>
          <w:sz w:val="24"/>
        </w:rPr>
        <w:t>ma</w:t>
      </w:r>
      <w:r w:rsidR="009C5542" w:rsidRPr="00966871">
        <w:rPr>
          <w:rFonts w:ascii="Times New Roman" w:hAnsi="Times New Roman" w:cs="Times New Roman"/>
          <w:sz w:val="24"/>
        </w:rPr>
        <w:t xml:space="preserve"> i dopuna</w:t>
      </w:r>
      <w:r w:rsidR="005A223D" w:rsidRPr="00966871">
        <w:rPr>
          <w:rFonts w:ascii="Times New Roman" w:hAnsi="Times New Roman" w:cs="Times New Roman"/>
          <w:sz w:val="24"/>
        </w:rPr>
        <w:t>ma financijskog plana</w:t>
      </w:r>
      <w:r w:rsidR="00D91DCD" w:rsidRPr="00966871">
        <w:rPr>
          <w:rFonts w:ascii="Times New Roman" w:hAnsi="Times New Roman" w:cs="Times New Roman"/>
          <w:sz w:val="24"/>
        </w:rPr>
        <w:t xml:space="preserve"> i sada iznose 28.867,48 eur</w:t>
      </w:r>
      <w:r w:rsidR="00966871">
        <w:rPr>
          <w:rFonts w:ascii="Times New Roman" w:hAnsi="Times New Roman" w:cs="Times New Roman"/>
          <w:sz w:val="24"/>
        </w:rPr>
        <w:t>a</w:t>
      </w:r>
      <w:r w:rsidR="005B2A2C" w:rsidRPr="00966871">
        <w:rPr>
          <w:rFonts w:ascii="Times New Roman" w:hAnsi="Times New Roman" w:cs="Times New Roman"/>
          <w:sz w:val="24"/>
        </w:rPr>
        <w:t>.</w:t>
      </w:r>
    </w:p>
    <w:p w14:paraId="33D97ABC" w14:textId="77777777" w:rsidR="00966871" w:rsidRPr="00966871" w:rsidRDefault="00966871" w:rsidP="009C554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</w:p>
    <w:p w14:paraId="2BE41E9B" w14:textId="0F56CF50" w:rsidR="009C5542" w:rsidRPr="005B2A2C" w:rsidRDefault="00BC7EB1" w:rsidP="001131C4">
      <w:pPr>
        <w:spacing w:after="200" w:line="360" w:lineRule="auto"/>
        <w:jc w:val="both"/>
        <w:rPr>
          <w:rFonts w:ascii="Arial" w:hAnsi="Arial" w:cs="Arial"/>
          <w:b/>
          <w:bCs/>
          <w:sz w:val="24"/>
        </w:rPr>
      </w:pPr>
      <w:r w:rsidRPr="005B2A2C">
        <w:rPr>
          <w:rFonts w:ascii="Arial" w:hAnsi="Arial" w:cs="Arial"/>
          <w:b/>
          <w:bCs/>
          <w:sz w:val="24"/>
        </w:rPr>
        <w:lastRenderedPageBreak/>
        <w:t>RASHODI</w:t>
      </w:r>
    </w:p>
    <w:p w14:paraId="21EAED67" w14:textId="55C82B01" w:rsidR="00BC7EB1" w:rsidRDefault="00FC40A7" w:rsidP="001131C4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966871">
        <w:rPr>
          <w:rFonts w:ascii="Times New Roman" w:hAnsi="Times New Roman" w:cs="Times New Roman"/>
          <w:sz w:val="24"/>
        </w:rPr>
        <w:t xml:space="preserve">Izmjena i dopuna rashoda </w:t>
      </w:r>
      <w:r w:rsidR="005B2A2C" w:rsidRPr="00966871">
        <w:rPr>
          <w:rFonts w:ascii="Times New Roman" w:hAnsi="Times New Roman" w:cs="Times New Roman"/>
          <w:sz w:val="24"/>
        </w:rPr>
        <w:t>Javne ustanove Narodne knj</w:t>
      </w:r>
      <w:r w:rsidR="00D91DCD" w:rsidRPr="00966871">
        <w:rPr>
          <w:rFonts w:ascii="Times New Roman" w:hAnsi="Times New Roman" w:cs="Times New Roman"/>
          <w:sz w:val="24"/>
        </w:rPr>
        <w:t>ižnice i čitaonice Gunja za 2023</w:t>
      </w:r>
      <w:r w:rsidR="005B2A2C" w:rsidRPr="00966871">
        <w:rPr>
          <w:rFonts w:ascii="Times New Roman" w:hAnsi="Times New Roman" w:cs="Times New Roman"/>
          <w:sz w:val="24"/>
        </w:rPr>
        <w:t>. godinu</w:t>
      </w:r>
    </w:p>
    <w:p w14:paraId="5B25E315" w14:textId="77777777" w:rsidR="00966871" w:rsidRPr="00966871" w:rsidRDefault="00966871" w:rsidP="001131C4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</w:p>
    <w:p w14:paraId="42B75953" w14:textId="77777777" w:rsidR="00AA6B90" w:rsidRDefault="00AA6B90" w:rsidP="00AA6B9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Program Stručna knjižnična i informacijska djelatnost</w:t>
      </w:r>
    </w:p>
    <w:p w14:paraId="35E51EE3" w14:textId="77777777" w:rsidR="00E72C8E" w:rsidRDefault="00AA6B90" w:rsidP="00AA6B90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Program Stručna knjižnična i informacijska djelatnost (u sklopu Glavnog programa G03 Javne potrebe u kulturi, športu i ostalim društvenim djelatnostima) odnosi se na financiranje djelatnosti Narodne knjižnice i čita</w:t>
      </w:r>
      <w:r w:rsidR="00E72C8E">
        <w:rPr>
          <w:rFonts w:ascii="Times New Roman" w:hAnsi="Times New Roman" w:cs="Times New Roman"/>
          <w:sz w:val="24"/>
        </w:rPr>
        <w:t>onice Gunja, i to na Rashode poslovanja i Rashode za nabavu nefinancijske imovine</w:t>
      </w:r>
      <w:r>
        <w:rPr>
          <w:rFonts w:ascii="Times New Roman" w:hAnsi="Times New Roman" w:cs="Times New Roman"/>
          <w:sz w:val="24"/>
        </w:rPr>
        <w:t>:</w:t>
      </w:r>
    </w:p>
    <w:p w14:paraId="0EEAA8A9" w14:textId="47C64B97" w:rsidR="00AA6B90" w:rsidRDefault="00E72C8E" w:rsidP="00AA6B90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E72C8E">
        <w:rPr>
          <w:rFonts w:ascii="Times New Roman" w:hAnsi="Times New Roman" w:cs="Times New Roman"/>
          <w:b/>
          <w:sz w:val="24"/>
        </w:rPr>
        <w:t>Ukupni rashodi poslovanja ( 3 )</w:t>
      </w:r>
      <w:r>
        <w:rPr>
          <w:rFonts w:ascii="Times New Roman" w:hAnsi="Times New Roman" w:cs="Times New Roman"/>
          <w:sz w:val="24"/>
        </w:rPr>
        <w:t xml:space="preserve"> u odnosu na plan smanjuju se za 2.155,26 eur</w:t>
      </w:r>
      <w:r w:rsidR="00966871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i sada iznose 23.547,58 eur</w:t>
      </w:r>
      <w:r w:rsidR="00966871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,</w:t>
      </w:r>
      <w:r w:rsidR="0003094C">
        <w:rPr>
          <w:rFonts w:ascii="Times New Roman" w:hAnsi="Times New Roman" w:cs="Times New Roman"/>
          <w:sz w:val="24"/>
        </w:rPr>
        <w:t xml:space="preserve"> i to uglavnom zbog kratkotrajnog prestanka rada knjižničarke, </w:t>
      </w:r>
      <w:r>
        <w:rPr>
          <w:rFonts w:ascii="Times New Roman" w:hAnsi="Times New Roman" w:cs="Times New Roman"/>
          <w:sz w:val="24"/>
        </w:rPr>
        <w:t xml:space="preserve"> a odnose se na Rashode za zaposlene (31) koji se u odnosu na pla</w:t>
      </w:r>
      <w:r w:rsidR="0003094C">
        <w:rPr>
          <w:rFonts w:ascii="Times New Roman" w:hAnsi="Times New Roman" w:cs="Times New Roman"/>
          <w:sz w:val="24"/>
        </w:rPr>
        <w:t>n smanjuju za 1.330,74 eur</w:t>
      </w:r>
      <w:r w:rsidR="00966871">
        <w:rPr>
          <w:rFonts w:ascii="Times New Roman" w:hAnsi="Times New Roman" w:cs="Times New Roman"/>
          <w:sz w:val="24"/>
        </w:rPr>
        <w:t>a</w:t>
      </w:r>
      <w:r w:rsidR="0003094C">
        <w:rPr>
          <w:rFonts w:ascii="Times New Roman" w:hAnsi="Times New Roman" w:cs="Times New Roman"/>
          <w:sz w:val="24"/>
        </w:rPr>
        <w:t xml:space="preserve"> i sada iznose 16.045,99 eur</w:t>
      </w:r>
      <w:r w:rsidR="00966871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. Ma</w:t>
      </w:r>
      <w:r w:rsidR="0003094C">
        <w:rPr>
          <w:rFonts w:ascii="Times New Roman" w:hAnsi="Times New Roman" w:cs="Times New Roman"/>
          <w:sz w:val="24"/>
        </w:rPr>
        <w:t>ter</w:t>
      </w:r>
      <w:r>
        <w:rPr>
          <w:rFonts w:ascii="Times New Roman" w:hAnsi="Times New Roman" w:cs="Times New Roman"/>
          <w:sz w:val="24"/>
        </w:rPr>
        <w:t>ijalni rashodi</w:t>
      </w:r>
      <w:r w:rsidR="0003094C">
        <w:rPr>
          <w:rFonts w:ascii="Times New Roman" w:hAnsi="Times New Roman" w:cs="Times New Roman"/>
          <w:sz w:val="24"/>
        </w:rPr>
        <w:t xml:space="preserve"> smanjuju se za 855,95 eur</w:t>
      </w:r>
      <w:r w:rsidR="00966871">
        <w:rPr>
          <w:rFonts w:ascii="Times New Roman" w:hAnsi="Times New Roman" w:cs="Times New Roman"/>
          <w:sz w:val="24"/>
        </w:rPr>
        <w:t>a</w:t>
      </w:r>
      <w:r w:rsidR="0003094C">
        <w:rPr>
          <w:rFonts w:ascii="Times New Roman" w:hAnsi="Times New Roman" w:cs="Times New Roman"/>
          <w:sz w:val="24"/>
        </w:rPr>
        <w:t xml:space="preserve"> i sada iznose 7.138,34 eur</w:t>
      </w:r>
      <w:r w:rsidR="00966871">
        <w:rPr>
          <w:rFonts w:ascii="Times New Roman" w:hAnsi="Times New Roman" w:cs="Times New Roman"/>
          <w:sz w:val="24"/>
        </w:rPr>
        <w:t>a</w:t>
      </w:r>
      <w:r w:rsidR="0003094C">
        <w:rPr>
          <w:rFonts w:ascii="Times New Roman" w:hAnsi="Times New Roman" w:cs="Times New Roman"/>
          <w:sz w:val="24"/>
        </w:rPr>
        <w:t>. Financijski rashodi se jedini povećavaju za 31,43 eur</w:t>
      </w:r>
      <w:r w:rsidR="00966871">
        <w:rPr>
          <w:rFonts w:ascii="Times New Roman" w:hAnsi="Times New Roman" w:cs="Times New Roman"/>
          <w:sz w:val="24"/>
        </w:rPr>
        <w:t>a</w:t>
      </w:r>
      <w:r w:rsidR="0003094C">
        <w:rPr>
          <w:rFonts w:ascii="Times New Roman" w:hAnsi="Times New Roman" w:cs="Times New Roman"/>
          <w:sz w:val="24"/>
        </w:rPr>
        <w:t xml:space="preserve"> i sada iznose 363,25 eur</w:t>
      </w:r>
      <w:r w:rsidR="00966871">
        <w:rPr>
          <w:rFonts w:ascii="Times New Roman" w:hAnsi="Times New Roman" w:cs="Times New Roman"/>
          <w:sz w:val="24"/>
        </w:rPr>
        <w:t>a</w:t>
      </w:r>
      <w:r w:rsidR="0003094C">
        <w:rPr>
          <w:rFonts w:ascii="Times New Roman" w:hAnsi="Times New Roman" w:cs="Times New Roman"/>
          <w:sz w:val="24"/>
        </w:rPr>
        <w:t xml:space="preserve"> jer bankarski rashodi nisu fiksni.</w:t>
      </w:r>
    </w:p>
    <w:p w14:paraId="2F9FFAAC" w14:textId="1D4EC1F0" w:rsidR="0003094C" w:rsidRDefault="0003094C" w:rsidP="00AA6B90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03094C">
        <w:rPr>
          <w:rFonts w:ascii="Times New Roman" w:hAnsi="Times New Roman" w:cs="Times New Roman"/>
          <w:b/>
          <w:sz w:val="24"/>
        </w:rPr>
        <w:t>Ukupni rashodi za nabavu nefinancijske imovine (4)</w:t>
      </w:r>
      <w:r>
        <w:rPr>
          <w:rFonts w:ascii="Times New Roman" w:hAnsi="Times New Roman" w:cs="Times New Roman"/>
          <w:sz w:val="24"/>
        </w:rPr>
        <w:t xml:space="preserve">  u odnosu na plan smanjuju se za </w:t>
      </w:r>
      <w:r w:rsidR="008B2F34">
        <w:rPr>
          <w:rFonts w:ascii="Times New Roman" w:hAnsi="Times New Roman" w:cs="Times New Roman"/>
          <w:sz w:val="24"/>
        </w:rPr>
        <w:t>1.415,75 eur</w:t>
      </w:r>
      <w:r w:rsidR="00966871">
        <w:rPr>
          <w:rFonts w:ascii="Times New Roman" w:hAnsi="Times New Roman" w:cs="Times New Roman"/>
          <w:sz w:val="24"/>
        </w:rPr>
        <w:t>a</w:t>
      </w:r>
      <w:r w:rsidR="008B2F34">
        <w:rPr>
          <w:rFonts w:ascii="Times New Roman" w:hAnsi="Times New Roman" w:cs="Times New Roman"/>
          <w:sz w:val="24"/>
        </w:rPr>
        <w:t xml:space="preserve"> i odnose se na nabavu knjižne građe i opreme. 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933"/>
        <w:gridCol w:w="4159"/>
        <w:gridCol w:w="1219"/>
        <w:gridCol w:w="1276"/>
        <w:gridCol w:w="1116"/>
        <w:gridCol w:w="1357"/>
      </w:tblGrid>
      <w:tr w:rsidR="00014703" w:rsidRPr="00014703" w14:paraId="7812CC55" w14:textId="77777777" w:rsidTr="00FC5735">
        <w:trPr>
          <w:trHeight w:val="5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365C3CF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215A3AE" w14:textId="77777777" w:rsidR="00014703" w:rsidRPr="00966871" w:rsidRDefault="00014703" w:rsidP="00014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3352EFD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25.702,84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A588583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-2.155,26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7106D81D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-8,39%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E9DD576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23.547,58</w:t>
            </w:r>
          </w:p>
        </w:tc>
      </w:tr>
      <w:tr w:rsidR="00014703" w:rsidRPr="00014703" w14:paraId="01E80738" w14:textId="77777777" w:rsidTr="00FC5735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5C920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18800" w14:textId="77777777" w:rsidR="00014703" w:rsidRPr="00966871" w:rsidRDefault="00014703" w:rsidP="00014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Rashodi za zaposlene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B2465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17.376,73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FF99B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-1.330,74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76AA6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-7,66%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0135D1E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16.045,99</w:t>
            </w:r>
          </w:p>
        </w:tc>
      </w:tr>
      <w:tr w:rsidR="00014703" w:rsidRPr="00014703" w14:paraId="09174A54" w14:textId="77777777" w:rsidTr="00014703">
        <w:trPr>
          <w:trHeight w:val="40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1DC61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02DA9" w14:textId="77777777" w:rsidR="00014703" w:rsidRPr="00966871" w:rsidRDefault="00014703" w:rsidP="00014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47D9E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7.994,29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3EC57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-855,95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EAC8E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-10,71%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EB374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7.138,34</w:t>
            </w:r>
          </w:p>
        </w:tc>
      </w:tr>
      <w:tr w:rsidR="00014703" w:rsidRPr="00014703" w14:paraId="38732AED" w14:textId="77777777" w:rsidTr="00014703">
        <w:trPr>
          <w:trHeight w:val="40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27E3A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1776D" w14:textId="77777777" w:rsidR="00014703" w:rsidRPr="00966871" w:rsidRDefault="00014703" w:rsidP="00014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Financijski rashodi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F49D8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331,82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0B49E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31,43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DF761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9,47%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7FFF4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363,25</w:t>
            </w:r>
          </w:p>
        </w:tc>
      </w:tr>
      <w:tr w:rsidR="00014703" w:rsidRPr="00014703" w14:paraId="47B23B2A" w14:textId="77777777" w:rsidTr="00014703">
        <w:trPr>
          <w:trHeight w:val="5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191970"/>
            <w:vAlign w:val="center"/>
            <w:hideMark/>
          </w:tcPr>
          <w:p w14:paraId="52C14C55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000000" w:fill="191970"/>
            <w:vAlign w:val="center"/>
            <w:hideMark/>
          </w:tcPr>
          <w:p w14:paraId="5C9A2874" w14:textId="77777777" w:rsidR="00014703" w:rsidRPr="00966871" w:rsidRDefault="00014703" w:rsidP="00014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191970"/>
            <w:vAlign w:val="center"/>
            <w:hideMark/>
          </w:tcPr>
          <w:p w14:paraId="210EC03C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6.735,65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191970"/>
            <w:vAlign w:val="center"/>
            <w:hideMark/>
          </w:tcPr>
          <w:p w14:paraId="4DF18C52" w14:textId="6FB56073" w:rsidR="00014703" w:rsidRPr="00966871" w:rsidRDefault="0003094C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1.415,75</w:t>
            </w:r>
            <w:r w:rsidR="00014703" w:rsidRPr="0096687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191970"/>
            <w:vAlign w:val="center"/>
            <w:hideMark/>
          </w:tcPr>
          <w:p w14:paraId="46A10D6A" w14:textId="2CE38186" w:rsidR="00014703" w:rsidRPr="00966871" w:rsidRDefault="008B2F34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21,0%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191970"/>
            <w:vAlign w:val="center"/>
            <w:hideMark/>
          </w:tcPr>
          <w:p w14:paraId="2B8C7D5E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5.319,90</w:t>
            </w:r>
          </w:p>
        </w:tc>
      </w:tr>
      <w:tr w:rsidR="00014703" w:rsidRPr="00014703" w14:paraId="1628B5C4" w14:textId="77777777" w:rsidTr="00014703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4A70E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99409" w14:textId="77777777" w:rsidR="00014703" w:rsidRPr="00966871" w:rsidRDefault="00014703" w:rsidP="00014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Rashodi za nabavu </w:t>
            </w:r>
            <w:proofErr w:type="spellStart"/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neproizvedene</w:t>
            </w:r>
            <w:proofErr w:type="spellEnd"/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0EFD8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DEB63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C1E76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98B7B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014703" w:rsidRPr="00014703" w14:paraId="2420D6DB" w14:textId="77777777" w:rsidTr="00014703">
        <w:trPr>
          <w:trHeight w:val="46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81C9B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E513B" w14:textId="77777777" w:rsidR="00014703" w:rsidRPr="00966871" w:rsidRDefault="00014703" w:rsidP="00014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Rashodi za nabavu proizvedene dugotrajne imovine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F25FE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6735,65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147C9" w14:textId="2AE2AFDA" w:rsidR="00014703" w:rsidRPr="00966871" w:rsidRDefault="0003094C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1.415,75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B9A92" w14:textId="4BB61118" w:rsidR="00014703" w:rsidRPr="00966871" w:rsidRDefault="008B2F34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21.02%</w:t>
            </w:r>
            <w:r w:rsidR="00014703"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5C7DB" w14:textId="77777777" w:rsidR="00014703" w:rsidRPr="00966871" w:rsidRDefault="00014703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5.320</w:t>
            </w:r>
          </w:p>
        </w:tc>
      </w:tr>
    </w:tbl>
    <w:p w14:paraId="0BC734C1" w14:textId="77777777" w:rsidR="00966871" w:rsidRDefault="00966871" w:rsidP="00AA6B90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14:paraId="416C0343" w14:textId="77777777" w:rsidR="00966871" w:rsidRDefault="00966871" w:rsidP="00AA6B90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14:paraId="335E4D12" w14:textId="77777777" w:rsidR="00966871" w:rsidRDefault="00966871" w:rsidP="00AA6B90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14:paraId="243BF99F" w14:textId="77777777" w:rsidR="00966871" w:rsidRDefault="00966871" w:rsidP="00AA6B90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14:paraId="395918EA" w14:textId="27D17384" w:rsidR="004223B3" w:rsidRPr="00966871" w:rsidRDefault="004223B3" w:rsidP="00AA6B90">
      <w:pPr>
        <w:spacing w:before="240" w:after="0" w:line="360" w:lineRule="auto"/>
        <w:jc w:val="both"/>
        <w:rPr>
          <w:rFonts w:ascii="Times New Roman" w:hAnsi="Times New Roman" w:cs="Times New Roman"/>
          <w:b/>
          <w:iCs/>
          <w:sz w:val="24"/>
        </w:rPr>
      </w:pPr>
      <w:r w:rsidRPr="00966871">
        <w:rPr>
          <w:rFonts w:ascii="Times New Roman" w:hAnsi="Times New Roman" w:cs="Times New Roman"/>
          <w:b/>
          <w:iCs/>
          <w:sz w:val="24"/>
        </w:rPr>
        <w:lastRenderedPageBreak/>
        <w:t>Ukupno planirani izda</w:t>
      </w:r>
      <w:r w:rsidR="00966871" w:rsidRPr="00966871">
        <w:rPr>
          <w:rFonts w:ascii="Times New Roman" w:hAnsi="Times New Roman" w:cs="Times New Roman"/>
          <w:b/>
          <w:iCs/>
          <w:sz w:val="24"/>
        </w:rPr>
        <w:t>t</w:t>
      </w:r>
      <w:r w:rsidRPr="00966871">
        <w:rPr>
          <w:rFonts w:ascii="Times New Roman" w:hAnsi="Times New Roman" w:cs="Times New Roman"/>
          <w:b/>
          <w:iCs/>
          <w:sz w:val="24"/>
        </w:rPr>
        <w:t>ci razvrstavaju se prema aktivnostima</w:t>
      </w:r>
      <w:r w:rsidR="00966871">
        <w:rPr>
          <w:rFonts w:ascii="Times New Roman" w:hAnsi="Times New Roman" w:cs="Times New Roman"/>
          <w:b/>
          <w:iCs/>
          <w:sz w:val="24"/>
        </w:rPr>
        <w:t xml:space="preserve"> i</w:t>
      </w:r>
      <w:r w:rsidR="00C42761" w:rsidRPr="00966871">
        <w:rPr>
          <w:rFonts w:ascii="Times New Roman" w:hAnsi="Times New Roman" w:cs="Times New Roman"/>
          <w:b/>
          <w:iCs/>
          <w:sz w:val="24"/>
        </w:rPr>
        <w:t xml:space="preserve"> izvorima financiranja</w:t>
      </w:r>
    </w:p>
    <w:p w14:paraId="34610CC7" w14:textId="77777777" w:rsidR="00966871" w:rsidRDefault="00966871" w:rsidP="00AA6B90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1141"/>
        <w:gridCol w:w="952"/>
        <w:gridCol w:w="3270"/>
        <w:gridCol w:w="1287"/>
        <w:gridCol w:w="1303"/>
        <w:gridCol w:w="1105"/>
        <w:gridCol w:w="1222"/>
      </w:tblGrid>
      <w:tr w:rsidR="000F0571" w:rsidRPr="000F0571" w14:paraId="52A00268" w14:textId="77777777" w:rsidTr="00884558">
        <w:trPr>
          <w:trHeight w:val="630"/>
        </w:trPr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D22B1F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9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CD3242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0DDA54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7DA5E0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5168A8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28A62E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7C38E8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0F0571" w:rsidRPr="000F0571" w14:paraId="2625C08C" w14:textId="77777777" w:rsidTr="00884558">
        <w:trPr>
          <w:trHeight w:val="46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vAlign w:val="center"/>
            <w:hideMark/>
          </w:tcPr>
          <w:p w14:paraId="5F893FB9" w14:textId="77777777" w:rsidR="000F0571" w:rsidRPr="000F0571" w:rsidRDefault="000F0571" w:rsidP="000F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F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vAlign w:val="center"/>
            <w:hideMark/>
          </w:tcPr>
          <w:p w14:paraId="2F5E8449" w14:textId="77777777" w:rsidR="000F0571" w:rsidRPr="000F0571" w:rsidRDefault="000F0571" w:rsidP="000F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F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vAlign w:val="center"/>
            <w:hideMark/>
          </w:tcPr>
          <w:p w14:paraId="5805A375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SVEUKUPNO RASHODI / IZDACI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vAlign w:val="center"/>
            <w:hideMark/>
          </w:tcPr>
          <w:p w14:paraId="6B5CAF8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32438,49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vAlign w:val="center"/>
            <w:hideMark/>
          </w:tcPr>
          <w:p w14:paraId="5DC6705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-3571,01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vAlign w:val="center"/>
            <w:hideMark/>
          </w:tcPr>
          <w:p w14:paraId="20D15AC2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-11,01%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vAlign w:val="center"/>
            <w:hideMark/>
          </w:tcPr>
          <w:p w14:paraId="1A93761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F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  28.867,48    </w:t>
            </w:r>
          </w:p>
        </w:tc>
      </w:tr>
      <w:tr w:rsidR="000F0571" w:rsidRPr="000F0571" w14:paraId="295DCEEF" w14:textId="77777777" w:rsidTr="00884558">
        <w:trPr>
          <w:trHeight w:val="63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center"/>
            <w:hideMark/>
          </w:tcPr>
          <w:p w14:paraId="11588830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center"/>
            <w:hideMark/>
          </w:tcPr>
          <w:p w14:paraId="0C6D5E4D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50784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center"/>
            <w:hideMark/>
          </w:tcPr>
          <w:p w14:paraId="5AC760AD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NARODNA KNJIŽNICA I ČITAONICA GUNJA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center"/>
            <w:hideMark/>
          </w:tcPr>
          <w:p w14:paraId="2DD4A93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32.438,49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center"/>
            <w:hideMark/>
          </w:tcPr>
          <w:p w14:paraId="526D3B36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-3.571,01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center"/>
            <w:hideMark/>
          </w:tcPr>
          <w:p w14:paraId="43856D58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-11,01%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center"/>
            <w:hideMark/>
          </w:tcPr>
          <w:p w14:paraId="70C0A3EE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28.867,48</w:t>
            </w:r>
          </w:p>
        </w:tc>
      </w:tr>
      <w:tr w:rsidR="000F0571" w:rsidRPr="000F0571" w14:paraId="32EE63CE" w14:textId="77777777" w:rsidTr="00884558">
        <w:trPr>
          <w:trHeight w:val="52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ED868D7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F3AB48F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1000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A2D8B1F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Stručna knjižnična i informacijska djelatnost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03EEE71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32.438,49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94E382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-3.571,01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8CCCE2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-11,01%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40D07BA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28.867,48</w:t>
            </w:r>
          </w:p>
        </w:tc>
      </w:tr>
      <w:tr w:rsidR="000F0571" w:rsidRPr="000F0571" w14:paraId="06155F7D" w14:textId="77777777" w:rsidTr="00884558">
        <w:trPr>
          <w:trHeight w:val="49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E77ABC6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005D83E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B45B28B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Redovna knjižnična djelatnost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BDF472E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F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23.911,09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FBA6A88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-363,51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D95AD6F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-1,52%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22B66D8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23.547,58</w:t>
            </w:r>
          </w:p>
        </w:tc>
      </w:tr>
      <w:tr w:rsidR="000F0571" w:rsidRPr="000F0571" w14:paraId="13981353" w14:textId="77777777" w:rsidTr="00884558">
        <w:trPr>
          <w:trHeight w:val="36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7CFCEAFD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Korisnik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0DCFEF0A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7D12014F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NARODNA KNJIŽNICA I ČITAONICA GUNJA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36C93A1F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23.911,09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60C78C01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-330,67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6252ECE9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-1,52%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22578BBA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23.547,58</w:t>
            </w:r>
          </w:p>
        </w:tc>
      </w:tr>
      <w:tr w:rsidR="000F0571" w:rsidRPr="000F0571" w14:paraId="5CC3AEC8" w14:textId="77777777" w:rsidTr="00884558">
        <w:trPr>
          <w:trHeight w:val="45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C2A05D5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32E9C71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1.0.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E344948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 - PK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6EC2BC6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23.778,23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D580287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-330,67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465C657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-1,39%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F76D48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23.447,56</w:t>
            </w:r>
          </w:p>
        </w:tc>
      </w:tr>
      <w:tr w:rsidR="000F0571" w:rsidRPr="000F0571" w14:paraId="7D1808D4" w14:textId="77777777" w:rsidTr="00884558">
        <w:trPr>
          <w:trHeight w:val="51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A151EE6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Funkcijska klasifikacija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74F3B23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59CA8E6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Službe kulture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6084AB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23.778,23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726E2B7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-330,67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9D43B9B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-1,39%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DFF7AD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23.447,56</w:t>
            </w:r>
          </w:p>
        </w:tc>
      </w:tr>
      <w:tr w:rsidR="000F0571" w:rsidRPr="000F0571" w14:paraId="48B8B28A" w14:textId="77777777" w:rsidTr="00884558">
        <w:trPr>
          <w:trHeight w:val="45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1E17A9EC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Lokacija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0CDE94C9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50784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51FE9286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NARODNA KNJIŽNICA I ČITAONICA GUNJA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2E47FEAA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23.778,23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1B018D63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-330,67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2599C956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-1,39%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17CDAED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23.447,56</w:t>
            </w:r>
          </w:p>
        </w:tc>
      </w:tr>
      <w:tr w:rsidR="000F0571" w:rsidRPr="000F0571" w14:paraId="5BD02E0F" w14:textId="77777777" w:rsidTr="00884558">
        <w:trPr>
          <w:trHeight w:val="33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62276" w14:textId="77777777" w:rsidR="000F0571" w:rsidRPr="000F0571" w:rsidRDefault="000F0571" w:rsidP="000F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F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4E9E7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DFF15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FC35D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23.778,23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68EA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-330,67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B0AD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-1,39%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B84BD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23.447,56</w:t>
            </w:r>
          </w:p>
        </w:tc>
      </w:tr>
      <w:tr w:rsidR="000F0571" w:rsidRPr="000F0571" w14:paraId="4D8F6E12" w14:textId="77777777" w:rsidTr="00884558">
        <w:trPr>
          <w:trHeight w:val="45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3E8C3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56F9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692CD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A9CF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17.376,73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55991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-1.330,74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A10B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-7,66%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F9B23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16.045,99</w:t>
            </w:r>
          </w:p>
        </w:tc>
      </w:tr>
      <w:tr w:rsidR="000F0571" w:rsidRPr="000F0571" w14:paraId="2A744EFA" w14:textId="77777777" w:rsidTr="00884558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8421B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D04D0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E74E8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7BDD9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6.069,68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B184E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-480,88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04673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-7,92%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B62A6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5.588,80</w:t>
            </w:r>
          </w:p>
        </w:tc>
      </w:tr>
      <w:tr w:rsidR="000F0571" w:rsidRPr="000F0571" w14:paraId="74FA2236" w14:textId="77777777" w:rsidTr="00884558">
        <w:trPr>
          <w:trHeight w:val="40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6C0BE" w14:textId="77777777" w:rsidR="000F0571" w:rsidRPr="000F0571" w:rsidRDefault="000F0571" w:rsidP="000F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F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D16FB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792D7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94560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331,82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77D13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31,43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5E57E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9,47%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1F753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363,25</w:t>
            </w:r>
          </w:p>
        </w:tc>
      </w:tr>
      <w:tr w:rsidR="000F0571" w:rsidRPr="000F0571" w14:paraId="10932A2E" w14:textId="77777777" w:rsidTr="00884558">
        <w:trPr>
          <w:trHeight w:val="64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DE56B2F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54DB48F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4.0.1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1147432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 - PK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8BA5603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132,86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F82A59A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-32,84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217F018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-24,72%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B6298F7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100,02</w:t>
            </w:r>
          </w:p>
        </w:tc>
      </w:tr>
      <w:tr w:rsidR="000F0571" w:rsidRPr="000F0571" w14:paraId="75373F4E" w14:textId="77777777" w:rsidTr="00884558">
        <w:trPr>
          <w:trHeight w:val="54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8C5D04B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Funkcijska klasifikacija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7D4C62E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8C3B325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Službe kulture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6BC638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132,86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44286F6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-32,84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7405433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-24,72%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9EAF148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100,02</w:t>
            </w:r>
          </w:p>
        </w:tc>
      </w:tr>
      <w:tr w:rsidR="000F0571" w:rsidRPr="000F0571" w14:paraId="25B2A410" w14:textId="77777777" w:rsidTr="00884558">
        <w:trPr>
          <w:trHeight w:val="45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63847F9B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Lokacija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6D204947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50784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0AA81F2F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NARODNA KNJIŽNICA I ČITAONICA GUNJA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6EC1013F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132,86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D59D069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-32,84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99D362A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-24,72%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1F33EA5D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100,02</w:t>
            </w:r>
          </w:p>
        </w:tc>
      </w:tr>
      <w:tr w:rsidR="000F0571" w:rsidRPr="000F0571" w14:paraId="46DEB294" w14:textId="77777777" w:rsidTr="00884558">
        <w:trPr>
          <w:trHeight w:val="45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CCF15" w14:textId="77777777" w:rsidR="000F0571" w:rsidRPr="000F0571" w:rsidRDefault="000F0571" w:rsidP="000F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F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1273B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ACAAA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DB97E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132,86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541F987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-32,84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F0E9978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-24,72%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259E0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100,02</w:t>
            </w:r>
          </w:p>
        </w:tc>
      </w:tr>
      <w:tr w:rsidR="000F0571" w:rsidRPr="000F0571" w14:paraId="1C63AFD0" w14:textId="77777777" w:rsidTr="00884558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5A730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BCAF6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5EFC5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C3F72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132,86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26ABAF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-32,84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392E181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-24,72%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1FAE9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100,02</w:t>
            </w:r>
          </w:p>
        </w:tc>
      </w:tr>
      <w:tr w:rsidR="000F0571" w:rsidRPr="000F0571" w14:paraId="202FA4BE" w14:textId="77777777" w:rsidTr="007B1BF6">
        <w:trPr>
          <w:trHeight w:val="422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26F5386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3E42E05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3C656B3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Nabava knjižnične građe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AF8E58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4.645,27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98B0181" w14:textId="7DC11BE0" w:rsidR="000F0571" w:rsidRPr="000F0571" w:rsidRDefault="007B1BF6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      674,63</w:t>
            </w:r>
            <w:r w:rsidR="000F0571"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4C57CF1" w14:textId="5820EA13" w:rsidR="000F0571" w:rsidRPr="000F0571" w:rsidRDefault="00380B0D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14,52</w:t>
            </w:r>
            <w:r w:rsidR="000F0571"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757038A" w14:textId="453E6520" w:rsidR="000F0571" w:rsidRPr="000F0571" w:rsidRDefault="00380B0D" w:rsidP="00380B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5.319,90</w:t>
            </w:r>
          </w:p>
        </w:tc>
      </w:tr>
      <w:tr w:rsidR="000F0571" w:rsidRPr="000F0571" w14:paraId="19A1F575" w14:textId="77777777" w:rsidTr="007B1BF6">
        <w:trPr>
          <w:trHeight w:val="569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5ECFDE2B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678B0CF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5C7CFE13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NARODNA KNJIŽNICA I ČITAONICA GUNJA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422C0E6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4.645,27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F311D52" w14:textId="56E76219" w:rsidR="000F0571" w:rsidRPr="000F0571" w:rsidRDefault="007B1BF6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      674,63</w:t>
            </w:r>
            <w:r w:rsidR="000F0571"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A3EAA7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211E11EA" w14:textId="2168D58D" w:rsidR="000F0571" w:rsidRPr="000F0571" w:rsidRDefault="00380B0D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5.319,90</w:t>
            </w:r>
          </w:p>
        </w:tc>
      </w:tr>
      <w:tr w:rsidR="000F0571" w:rsidRPr="000F0571" w14:paraId="4B6C13D2" w14:textId="77777777" w:rsidTr="00884558">
        <w:trPr>
          <w:trHeight w:val="52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5524CDD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15B9F70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1.0.1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3006DEB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 - PK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285AF4F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DA3227E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-663,61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66F2FD6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28B0C8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F0571" w:rsidRPr="000F0571" w14:paraId="465B91A7" w14:textId="77777777" w:rsidTr="00884558">
        <w:trPr>
          <w:trHeight w:val="6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C414066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Funkcijska klasifikacija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E504C1E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984E42E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Službe kulture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A3284E9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F21D46F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-663,61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FDF6E7B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99E3B73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F0571" w:rsidRPr="000F0571" w14:paraId="7CA05989" w14:textId="77777777" w:rsidTr="00884558">
        <w:trPr>
          <w:trHeight w:val="45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41EF9CA5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Lokacija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20592BC7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50784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17F12FDC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NARODNA KNJIŽNICA I ČITAONICA GUNJA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1AC5D81A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300145E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-663,61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51A3976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7A1B1923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F0571" w:rsidRPr="000F0571" w14:paraId="6BCF1FEC" w14:textId="77777777" w:rsidTr="00884558">
        <w:trPr>
          <w:trHeight w:val="42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7C67F" w14:textId="77777777" w:rsidR="000F0571" w:rsidRPr="000F0571" w:rsidRDefault="000F0571" w:rsidP="000F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F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6B501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AAA0E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A8186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7D27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-663,61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2D2F7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4013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F0571" w:rsidRPr="000F0571" w14:paraId="790623B5" w14:textId="77777777" w:rsidTr="00884558">
        <w:trPr>
          <w:trHeight w:val="4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8A07E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1A9B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87DD7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068F6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786A0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-663,61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47920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781A9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F0571" w:rsidRPr="000F0571" w14:paraId="192A413F" w14:textId="77777777" w:rsidTr="00884558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6D89F9E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F70200E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5.0.1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B8A80A4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- PK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B75FF5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3.981,66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8D0F4A3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1.338,24   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345D0C2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33,61%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8665727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5.319,90</w:t>
            </w:r>
          </w:p>
        </w:tc>
      </w:tr>
      <w:tr w:rsidR="000F0571" w:rsidRPr="000F0571" w14:paraId="7A36FEB7" w14:textId="77777777" w:rsidTr="00884558">
        <w:trPr>
          <w:trHeight w:val="4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515CBB5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Funkcijska klasifikacija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0348C9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B031CCD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Službe kulture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174E66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3.981,66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CB7AFB2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1.338,24   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DDC1503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F1EC34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5.319,90</w:t>
            </w:r>
          </w:p>
        </w:tc>
      </w:tr>
      <w:tr w:rsidR="000F0571" w:rsidRPr="000F0571" w14:paraId="33AE5761" w14:textId="77777777" w:rsidTr="00884558">
        <w:trPr>
          <w:trHeight w:val="45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2AD6B6F5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 xml:space="preserve">Lokacija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0A358DE1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50784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43909F0B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NARODNA KNJIŽNICA I ČITAONICA GUNJA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1E324C9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3.981,66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AB08C9B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1.338,24   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20ECAAF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7C827423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5.319,90</w:t>
            </w:r>
          </w:p>
        </w:tc>
      </w:tr>
      <w:tr w:rsidR="000F0571" w:rsidRPr="000F0571" w14:paraId="0E0DB247" w14:textId="77777777" w:rsidTr="00884558">
        <w:trPr>
          <w:trHeight w:val="51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AF709" w14:textId="77777777" w:rsidR="000F0571" w:rsidRPr="000F0571" w:rsidRDefault="000F0571" w:rsidP="000F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F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3E318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BECDC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A5EEE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3.981,66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8B458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1.338,24   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B4C50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B89AE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5.319,90</w:t>
            </w:r>
          </w:p>
        </w:tc>
      </w:tr>
      <w:tr w:rsidR="000F0571" w:rsidRPr="000F0571" w14:paraId="157E6812" w14:textId="77777777" w:rsidTr="00884558">
        <w:trPr>
          <w:trHeight w:val="42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D0E02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F2FC0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7CE77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86C6B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3.981,66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41FC3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1.338,24   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33BFA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0D23E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5.319,90</w:t>
            </w:r>
          </w:p>
        </w:tc>
      </w:tr>
      <w:tr w:rsidR="000F0571" w:rsidRPr="000F0571" w14:paraId="4B12EA2D" w14:textId="77777777" w:rsidTr="00884558">
        <w:trPr>
          <w:trHeight w:val="63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44ACF70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504C3B1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A100003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2D44C80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Mjesec Hrvatske knjige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5876CE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729,97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7694EFB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-263,61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E07D017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-36,11%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CC70B8D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466,36</w:t>
            </w:r>
          </w:p>
        </w:tc>
      </w:tr>
      <w:tr w:rsidR="000F0571" w:rsidRPr="000F0571" w14:paraId="5A993B59" w14:textId="77777777" w:rsidTr="00884558">
        <w:trPr>
          <w:trHeight w:val="46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2FAEA4E7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Korisnik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59F9029D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40E632ED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NARODNA KNJIŽNICA I ČITAONICA GUNJA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5A3C8B88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729,97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FC1CDA6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-263,01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8FB5311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-36,03%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4CAE6D0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466,36</w:t>
            </w:r>
          </w:p>
        </w:tc>
      </w:tr>
      <w:tr w:rsidR="000F0571" w:rsidRPr="000F0571" w14:paraId="29A180A1" w14:textId="77777777" w:rsidTr="00884558">
        <w:trPr>
          <w:trHeight w:val="40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38699B4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DC35619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1.0.1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9CAD066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 - PK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4A9D8A9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729,97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2E98BAF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-263,01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4A08C91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-36,03%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E3D884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466,36</w:t>
            </w:r>
          </w:p>
        </w:tc>
      </w:tr>
      <w:tr w:rsidR="000F0571" w:rsidRPr="000F0571" w14:paraId="60C4D7D5" w14:textId="77777777" w:rsidTr="00884558">
        <w:trPr>
          <w:trHeight w:val="43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3D077DB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Funkcijska klasifikacija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F92DE7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06CF670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Službe kulture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F36E88E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729,97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8843619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-263,01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31C44D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-36,03%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E8A755A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466,36</w:t>
            </w:r>
          </w:p>
        </w:tc>
      </w:tr>
      <w:tr w:rsidR="000F0571" w:rsidRPr="000F0571" w14:paraId="7D732D92" w14:textId="77777777" w:rsidTr="00884558">
        <w:trPr>
          <w:trHeight w:val="45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7A98F3EC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Lokacija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58D29400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50784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2184BA2A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NARODNA KNJIŽNICA I ČITAONICA GUNJA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7BE6A1E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729,97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9DD905A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-263,01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3F7B586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-36,03%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70FB8D93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466,36</w:t>
            </w:r>
          </w:p>
        </w:tc>
      </w:tr>
      <w:tr w:rsidR="000F0571" w:rsidRPr="000F0571" w14:paraId="1BB40558" w14:textId="77777777" w:rsidTr="00884558">
        <w:trPr>
          <w:trHeight w:val="40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82CE7" w14:textId="77777777" w:rsidR="000F0571" w:rsidRPr="000F0571" w:rsidRDefault="000F0571" w:rsidP="000F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F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F854A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94CE4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7749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729,97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15DD7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-263,61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9C8D0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-36,11%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9A6E3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466,36</w:t>
            </w:r>
          </w:p>
        </w:tc>
      </w:tr>
      <w:tr w:rsidR="000F0571" w:rsidRPr="000F0571" w14:paraId="3C27AA9C" w14:textId="77777777" w:rsidTr="00884558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C141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BD4F9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61FB0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A6480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729,97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E59DE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-263,61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A6B8B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-36,11%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CA1CA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466,36</w:t>
            </w:r>
          </w:p>
        </w:tc>
      </w:tr>
      <w:tr w:rsidR="000F0571" w:rsidRPr="000F0571" w14:paraId="40B2F731" w14:textId="77777777" w:rsidTr="00884558">
        <w:trPr>
          <w:trHeight w:val="61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1E6D51E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F8AA7D5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A100004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555583D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za djecu „Noć knjige“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6270F66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265,44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386A3F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-162,08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F4DAB8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-61,06%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1BB121F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103,36</w:t>
            </w:r>
          </w:p>
        </w:tc>
      </w:tr>
      <w:tr w:rsidR="000F0571" w:rsidRPr="000F0571" w14:paraId="2DEA2DEF" w14:textId="77777777" w:rsidTr="00884558">
        <w:trPr>
          <w:trHeight w:val="5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2CC1FB07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Korisnik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28C8086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1CF7D8A6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NARODNA KNJIŽNICA I ČITAONICA GUNJA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6B3F21BB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265,44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FFE036F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-162,08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ED6A6F1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-61,06%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0BCF61DE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103,36</w:t>
            </w:r>
          </w:p>
        </w:tc>
      </w:tr>
      <w:tr w:rsidR="000F0571" w:rsidRPr="000F0571" w14:paraId="2075E0D5" w14:textId="77777777" w:rsidTr="00884558">
        <w:trPr>
          <w:trHeight w:val="49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BF0EAB7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4692D7F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1.0.1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20331C2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 - PK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F98CA67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265,44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3998C9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-162,08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4B4298A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-61,06%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EAA907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103,36</w:t>
            </w:r>
          </w:p>
        </w:tc>
      </w:tr>
      <w:tr w:rsidR="000F0571" w:rsidRPr="000F0571" w14:paraId="2774FB9B" w14:textId="77777777" w:rsidTr="00884558">
        <w:trPr>
          <w:trHeight w:val="43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53F018D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Funkcijska klasifikacija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D2B6493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4BE39E3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Službe kulture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0BF952D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265,44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0CAC5C6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-162,08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E122262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-61,06%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8BDE131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103,36</w:t>
            </w:r>
          </w:p>
        </w:tc>
      </w:tr>
      <w:tr w:rsidR="000F0571" w:rsidRPr="000F0571" w14:paraId="385B5BF6" w14:textId="77777777" w:rsidTr="00884558">
        <w:trPr>
          <w:trHeight w:val="43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4DE524E0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Lokacija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6AC48EB9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50784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11A437E3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NARODNA KNJIŽNICA I ČITAONICA GUNJA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6400A97F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265,44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873698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-162,08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EA3DADF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-61,06%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7F1088C1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103,36</w:t>
            </w:r>
          </w:p>
        </w:tc>
      </w:tr>
      <w:tr w:rsidR="000F0571" w:rsidRPr="000F0571" w14:paraId="147C370A" w14:textId="77777777" w:rsidTr="00884558">
        <w:trPr>
          <w:trHeight w:val="52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3ABFC" w14:textId="77777777" w:rsidR="000F0571" w:rsidRPr="000F0571" w:rsidRDefault="000F0571" w:rsidP="000F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F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99E30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687C1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2DBBE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265,44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4DFB0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-162,08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650B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-61,06%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30D91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103,36</w:t>
            </w:r>
          </w:p>
        </w:tc>
      </w:tr>
      <w:tr w:rsidR="000F0571" w:rsidRPr="000F0571" w14:paraId="4A5245E3" w14:textId="77777777" w:rsidTr="00884558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8396B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FC650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7E26D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630A2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265,44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4AA2A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-162,08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0FC13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-61,06%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3578B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103,36</w:t>
            </w:r>
          </w:p>
        </w:tc>
      </w:tr>
      <w:tr w:rsidR="000F0571" w:rsidRPr="000F0571" w14:paraId="7D283392" w14:textId="77777777" w:rsidTr="00884558">
        <w:trPr>
          <w:trHeight w:val="5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AB375B8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1B7F209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A100005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8CCF3BF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za djecu Ljeto u knjižnici“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9AFD43B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530,9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96DC03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-51,10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273BD39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-9,63%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D2EF2E0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479,80</w:t>
            </w:r>
          </w:p>
        </w:tc>
      </w:tr>
      <w:tr w:rsidR="000F0571" w:rsidRPr="000F0571" w14:paraId="3E4B182F" w14:textId="77777777" w:rsidTr="00884558">
        <w:trPr>
          <w:trHeight w:val="51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0A4F61BA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Korisnik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2264CF73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10772F12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NARODNA KNJIŽNICA I ČITAONICA GUNJA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4755732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530,9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4302A37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-51,10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6D0418B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-9,63%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6E6F48D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479,80</w:t>
            </w:r>
          </w:p>
        </w:tc>
      </w:tr>
      <w:tr w:rsidR="000F0571" w:rsidRPr="000F0571" w14:paraId="3E1D7EE7" w14:textId="77777777" w:rsidTr="00884558">
        <w:trPr>
          <w:trHeight w:val="45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1EB8B14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4436D76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1.0.1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9CB109F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 - PK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E498BEA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530,9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68955EB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-51,10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DB1DDE7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-9,63%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B9AD656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479,80</w:t>
            </w:r>
          </w:p>
        </w:tc>
      </w:tr>
      <w:tr w:rsidR="000F0571" w:rsidRPr="000F0571" w14:paraId="0E3DAC53" w14:textId="77777777" w:rsidTr="00884558">
        <w:trPr>
          <w:trHeight w:val="51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C9A3FB5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Funkcijska klasifikacija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48AC9CA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B6C055A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Službe kulture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A1625A9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530,9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EAFA7A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-51,10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3C0652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-9,63%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6F6343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479,80</w:t>
            </w:r>
          </w:p>
        </w:tc>
      </w:tr>
      <w:tr w:rsidR="000F0571" w:rsidRPr="000F0571" w14:paraId="307CEC13" w14:textId="77777777" w:rsidTr="00884558">
        <w:trPr>
          <w:trHeight w:val="45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6F08A22C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Lokacija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394270C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50784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44ECCF91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NARODNA KNJIŽNICA I ČITAONICA GUNJA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4BE3C8A3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530,9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C9502AF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-51,10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B94DBDF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-9,63%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18C3F439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479,80</w:t>
            </w:r>
          </w:p>
        </w:tc>
      </w:tr>
      <w:tr w:rsidR="000F0571" w:rsidRPr="000F0571" w14:paraId="2EAD092B" w14:textId="77777777" w:rsidTr="00884558">
        <w:trPr>
          <w:trHeight w:val="54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965AD" w14:textId="77777777" w:rsidR="000F0571" w:rsidRPr="000F0571" w:rsidRDefault="000F0571" w:rsidP="000F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F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E7059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8B949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8ECC7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530,9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05E2A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-51,10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96339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-9,63%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06630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479,80</w:t>
            </w:r>
          </w:p>
        </w:tc>
      </w:tr>
      <w:tr w:rsidR="000F0571" w:rsidRPr="000F0571" w14:paraId="42E5938B" w14:textId="77777777" w:rsidTr="00884558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5864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CE220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BD664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CA25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530,9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C4EDA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-51,10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9CEF9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-9,63%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5EEC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479,80</w:t>
            </w:r>
          </w:p>
        </w:tc>
      </w:tr>
      <w:tr w:rsidR="000F0571" w:rsidRPr="000F0571" w14:paraId="419E888B" w14:textId="77777777" w:rsidTr="00884558">
        <w:trPr>
          <w:trHeight w:val="4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EE5A0EF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A5BF2D3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A100006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47F6830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„ Međunarodni dan dječje knjige“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6CCC39D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265,44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879577E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-265,44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21E6779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374599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F0571" w:rsidRPr="000F0571" w14:paraId="6A45E9FB" w14:textId="77777777" w:rsidTr="00884558">
        <w:trPr>
          <w:trHeight w:val="54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79E91249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Korisnik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7D6F79E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38A43E4D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NARODNA KNJIŽNICA I ČITAONICA GUNJA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0FF6F069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265,44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F7196DB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-265,44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3B51791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2555DE82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F0571" w:rsidRPr="000F0571" w14:paraId="75105835" w14:textId="77777777" w:rsidTr="00884558">
        <w:trPr>
          <w:trHeight w:val="58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72E2A56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11AEB26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1.0.1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0BBFCB3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 - PK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6DA4E73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265,44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000491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-265,44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60039B1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1B20256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F0571" w:rsidRPr="000F0571" w14:paraId="23D40C3D" w14:textId="77777777" w:rsidTr="00884558">
        <w:trPr>
          <w:trHeight w:val="54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F14E796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Funkcijska klasifikacija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005228F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00BA336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Službe kulture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9813198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265,44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C589267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-265,44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CF52867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41BA6A0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F0571" w:rsidRPr="000F0571" w14:paraId="11BF3766" w14:textId="77777777" w:rsidTr="00884558">
        <w:trPr>
          <w:trHeight w:val="45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18E637E9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Lokacija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52FB9E8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50784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19FD02A0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NARODNA KNJIŽNICA I ČITAONICA GUNJA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1A5A7158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265,44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ABAFFCF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-265,44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2F45C9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43904BF8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F0571" w:rsidRPr="000F0571" w14:paraId="55012B2E" w14:textId="77777777" w:rsidTr="00884558">
        <w:trPr>
          <w:trHeight w:val="40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BCF069" w14:textId="77777777" w:rsidR="000F0571" w:rsidRPr="000F0571" w:rsidRDefault="000F0571" w:rsidP="000F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F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FDA5D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9031D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96DDD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265,44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89AB7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-265,44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439BF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81101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F0571" w:rsidRPr="000F0571" w14:paraId="2F922ED2" w14:textId="77777777" w:rsidTr="00884558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2648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70FDF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8916A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F5A36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265,44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4A721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-265,44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C6AD7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B8961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F0571" w:rsidRPr="000F0571" w14:paraId="342EE5A7" w14:textId="77777777" w:rsidTr="00884558">
        <w:trPr>
          <w:trHeight w:val="49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4EC8A73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1883ECF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A100007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2DE6DA8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Nabava uredske opreme i namještaja“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A21936F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2090 ,38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521D528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-2.090,38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DFB0C1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30C914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F0571" w:rsidRPr="000F0571" w14:paraId="2D1ECBB0" w14:textId="77777777" w:rsidTr="00884558">
        <w:trPr>
          <w:trHeight w:val="4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062D17BB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Korisnik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0AF40F2B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4FF69ADE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NARODNA KNJIŽNICA I ČITAONICA GUNJA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42A023F8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2090,38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490BB76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-2.090,38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F745398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7CB7AAC2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F0571" w:rsidRPr="000F0571" w14:paraId="3755C356" w14:textId="77777777" w:rsidTr="00884558">
        <w:trPr>
          <w:trHeight w:val="34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178F87B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8E13C7B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5.0.1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3DA248F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2B94EAE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2098,38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A0C1CB0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-2.098,38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DB55D9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1D51A11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F0571" w:rsidRPr="000F0571" w14:paraId="42ED81A5" w14:textId="77777777" w:rsidTr="00884558">
        <w:trPr>
          <w:trHeight w:val="49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03386D1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Funkcijska klasifikacija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3C7F232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8A31BCB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Službe kulture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46DF3FF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2090,38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936286B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-2.090,38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DB98636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15E8A5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F0571" w:rsidRPr="000F0571" w14:paraId="26A76ABE" w14:textId="77777777" w:rsidTr="00884558">
        <w:trPr>
          <w:trHeight w:val="45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2C937B92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Lokacija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30F867B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50784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44AF5229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NARODNA KNJIŽNICA I ČITAONICA GUNJA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14EFCCB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2090,38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E8CFF1D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-2.090,38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223E0B1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056FA206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F0571" w:rsidRPr="000F0571" w14:paraId="55686D3F" w14:textId="77777777" w:rsidTr="00884558">
        <w:trPr>
          <w:trHeight w:val="45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6B517" w14:textId="77777777" w:rsidR="000F0571" w:rsidRPr="000F0571" w:rsidRDefault="000F0571" w:rsidP="000F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F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E2ACB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C75E8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3F5B0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2.090,38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5217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-2.090,38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121AE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5E61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F0571" w:rsidRPr="000F0571" w14:paraId="26D6FFD4" w14:textId="77777777" w:rsidTr="00884558">
        <w:trPr>
          <w:trHeight w:val="39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3FDE1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F5B1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707C1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154FF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2.090,38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6AB5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-2.090,38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7968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75B50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F0571" w:rsidRPr="000F0571" w14:paraId="5C554E77" w14:textId="77777777" w:rsidTr="00884558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3A85BD9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CD8662E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A100008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4D4BE18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Advent u knjižnici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08D47DA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70A6BAE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5D1EB38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139AAA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F0571" w:rsidRPr="000F0571" w14:paraId="0E64D935" w14:textId="77777777" w:rsidTr="00884558">
        <w:trPr>
          <w:trHeight w:val="45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4FB01E18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Korisnik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327F6A0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5D12F97D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NARODNA KNJIŽNICA I ČITAONICA GUNJA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3BFA08AD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22BADA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0B1296B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A3C9B9"/>
            <w:vAlign w:val="center"/>
            <w:hideMark/>
          </w:tcPr>
          <w:p w14:paraId="078EDA99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</w:tr>
      <w:tr w:rsidR="000F0571" w:rsidRPr="000F0571" w14:paraId="0C80C449" w14:textId="77777777" w:rsidTr="00884558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DED6D84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88F41B0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1.0.1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AD7C386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 - PK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274A333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FA5CC39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6986161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EDC825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</w:tr>
      <w:tr w:rsidR="000F0571" w:rsidRPr="000F0571" w14:paraId="06E445B5" w14:textId="77777777" w:rsidTr="00884558">
        <w:trPr>
          <w:trHeight w:val="45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2F6C9FC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Funkcijska klasifikacija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0AF9B7F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BED0D89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Službe kulture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02D15AB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CA4ECE1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E205093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8BFF34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</w:tr>
      <w:tr w:rsidR="000F0571" w:rsidRPr="000F0571" w14:paraId="55D2C3B1" w14:textId="77777777" w:rsidTr="00884558">
        <w:trPr>
          <w:trHeight w:val="45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7E52E799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Lokacija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4D8BD749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50784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08CEEB5B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NARODNA KNJIŽNICA I ČITAONICA GUNJA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0527C1C0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140A55C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814A69F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E0C1"/>
            <w:vAlign w:val="center"/>
            <w:hideMark/>
          </w:tcPr>
          <w:p w14:paraId="1B48E05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</w:tr>
      <w:tr w:rsidR="000F0571" w:rsidRPr="000F0571" w14:paraId="26BBE1D3" w14:textId="77777777" w:rsidTr="00884558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A3A97" w14:textId="77777777" w:rsidR="000F0571" w:rsidRPr="000F0571" w:rsidRDefault="000F0571" w:rsidP="000F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F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66BCD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2731D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6D8A1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18211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77707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E31DE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</w:tr>
      <w:tr w:rsidR="000F0571" w:rsidRPr="000F0571" w14:paraId="13908A1F" w14:textId="77777777" w:rsidTr="00884558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31CC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35F20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512E3" w14:textId="77777777" w:rsidR="000F0571" w:rsidRPr="000F0571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25425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30CCD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EC388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FEE94" w14:textId="77777777" w:rsidR="000F0571" w:rsidRPr="000F0571" w:rsidRDefault="000F0571" w:rsidP="000F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F05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</w:tr>
    </w:tbl>
    <w:p w14:paraId="7DBC62A4" w14:textId="77777777" w:rsidR="00966871" w:rsidRDefault="00AA6B90" w:rsidP="00AA6B90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ab/>
      </w:r>
    </w:p>
    <w:p w14:paraId="066ABA3F" w14:textId="6C236D96" w:rsidR="00AA6B90" w:rsidRPr="00F255EE" w:rsidRDefault="00AA6B90" w:rsidP="00AA6B90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5EE">
        <w:rPr>
          <w:rFonts w:ascii="Times New Roman" w:hAnsi="Times New Roman" w:cs="Times New Roman"/>
          <w:b/>
          <w:i/>
          <w:sz w:val="28"/>
          <w:szCs w:val="28"/>
        </w:rPr>
        <w:t xml:space="preserve">Aktivnost </w:t>
      </w:r>
      <w:r w:rsidR="007B1BF6">
        <w:rPr>
          <w:rFonts w:ascii="Times New Roman" w:hAnsi="Times New Roman" w:cs="Times New Roman"/>
          <w:b/>
          <w:i/>
          <w:sz w:val="28"/>
          <w:szCs w:val="28"/>
        </w:rPr>
        <w:t>A 100001</w:t>
      </w:r>
      <w:r w:rsidR="00966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255EE">
        <w:rPr>
          <w:rFonts w:ascii="Times New Roman" w:hAnsi="Times New Roman" w:cs="Times New Roman"/>
          <w:b/>
          <w:i/>
          <w:sz w:val="28"/>
          <w:szCs w:val="28"/>
        </w:rPr>
        <w:t>Redo</w:t>
      </w:r>
      <w:r w:rsidR="00966871">
        <w:rPr>
          <w:rFonts w:ascii="Times New Roman" w:hAnsi="Times New Roman" w:cs="Times New Roman"/>
          <w:b/>
          <w:i/>
          <w:sz w:val="28"/>
          <w:szCs w:val="28"/>
        </w:rPr>
        <w:t>vita</w:t>
      </w:r>
      <w:r w:rsidRPr="00F255EE">
        <w:rPr>
          <w:rFonts w:ascii="Times New Roman" w:hAnsi="Times New Roman" w:cs="Times New Roman"/>
          <w:b/>
          <w:i/>
          <w:sz w:val="28"/>
          <w:szCs w:val="28"/>
        </w:rPr>
        <w:t xml:space="preserve"> knjižnična djelatnost</w:t>
      </w:r>
      <w:r w:rsidR="00E32E8C" w:rsidRPr="00F255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C37C389" w14:textId="163BCD2E" w:rsidR="008E249F" w:rsidRDefault="00AA6B90" w:rsidP="00363C3B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Aktivnost </w:t>
      </w:r>
      <w:proofErr w:type="spellStart"/>
      <w:r>
        <w:rPr>
          <w:rFonts w:ascii="Times New Roman" w:hAnsi="Times New Roman" w:cs="Times New Roman"/>
          <w:sz w:val="24"/>
        </w:rPr>
        <w:t>red</w:t>
      </w:r>
      <w:r w:rsidR="00966871">
        <w:rPr>
          <w:rFonts w:ascii="Times New Roman" w:hAnsi="Times New Roman" w:cs="Times New Roman"/>
          <w:sz w:val="24"/>
        </w:rPr>
        <w:t>ovite</w:t>
      </w:r>
      <w:r w:rsidR="00C17D90">
        <w:rPr>
          <w:rFonts w:ascii="Times New Roman" w:hAnsi="Times New Roman" w:cs="Times New Roman"/>
          <w:sz w:val="24"/>
        </w:rPr>
        <w:t>e</w:t>
      </w:r>
      <w:proofErr w:type="spellEnd"/>
      <w:r w:rsidR="00C17D90">
        <w:rPr>
          <w:rFonts w:ascii="Times New Roman" w:hAnsi="Times New Roman" w:cs="Times New Roman"/>
          <w:sz w:val="24"/>
        </w:rPr>
        <w:t xml:space="preserve"> knjižnične </w:t>
      </w:r>
      <w:r w:rsidR="00C17D90" w:rsidRPr="005B2A2C">
        <w:rPr>
          <w:rFonts w:ascii="Times New Roman" w:hAnsi="Times New Roman" w:cs="Times New Roman"/>
          <w:sz w:val="24"/>
        </w:rPr>
        <w:t>djelatnosti</w:t>
      </w:r>
      <w:r w:rsidR="00761CA0" w:rsidRPr="005B2A2C">
        <w:rPr>
          <w:rFonts w:ascii="Times New Roman" w:hAnsi="Times New Roman" w:cs="Times New Roman"/>
          <w:sz w:val="24"/>
        </w:rPr>
        <w:t xml:space="preserve"> I. Izmjenama i dopunama proračuna</w:t>
      </w:r>
      <w:r w:rsidR="00C17D90" w:rsidRPr="005B2A2C">
        <w:rPr>
          <w:rFonts w:ascii="Times New Roman" w:hAnsi="Times New Roman" w:cs="Times New Roman"/>
          <w:sz w:val="24"/>
        </w:rPr>
        <w:t xml:space="preserve"> </w:t>
      </w:r>
      <w:r w:rsidR="00884558">
        <w:rPr>
          <w:rFonts w:ascii="Times New Roman" w:hAnsi="Times New Roman" w:cs="Times New Roman"/>
          <w:sz w:val="24"/>
        </w:rPr>
        <w:t>za 2023</w:t>
      </w:r>
      <w:r>
        <w:rPr>
          <w:rFonts w:ascii="Times New Roman" w:hAnsi="Times New Roman" w:cs="Times New Roman"/>
          <w:sz w:val="24"/>
        </w:rPr>
        <w:t xml:space="preserve">. godinu </w:t>
      </w:r>
      <w:r w:rsidR="00714488">
        <w:rPr>
          <w:rFonts w:ascii="Times New Roman" w:hAnsi="Times New Roman" w:cs="Times New Roman"/>
          <w:sz w:val="24"/>
        </w:rPr>
        <w:t>bilježi</w:t>
      </w:r>
      <w:r w:rsidR="00761CA0">
        <w:rPr>
          <w:rFonts w:ascii="Times New Roman" w:hAnsi="Times New Roman" w:cs="Times New Roman"/>
          <w:sz w:val="24"/>
        </w:rPr>
        <w:t xml:space="preserve"> </w:t>
      </w:r>
      <w:r w:rsidR="00761CA0" w:rsidRPr="005B2A2C">
        <w:rPr>
          <w:rFonts w:ascii="Times New Roman" w:hAnsi="Times New Roman" w:cs="Times New Roman"/>
          <w:sz w:val="24"/>
        </w:rPr>
        <w:t>smanjenje od</w:t>
      </w:r>
      <w:r w:rsidRPr="005B2A2C">
        <w:rPr>
          <w:rFonts w:ascii="Times New Roman" w:hAnsi="Times New Roman" w:cs="Times New Roman"/>
          <w:sz w:val="24"/>
        </w:rPr>
        <w:t xml:space="preserve"> </w:t>
      </w:r>
      <w:r w:rsidR="00884558">
        <w:rPr>
          <w:rFonts w:ascii="Times New Roman" w:hAnsi="Times New Roman" w:cs="Times New Roman"/>
          <w:sz w:val="24"/>
        </w:rPr>
        <w:t>330,67 eur</w:t>
      </w:r>
      <w:r w:rsidR="00966871">
        <w:rPr>
          <w:rFonts w:ascii="Times New Roman" w:hAnsi="Times New Roman" w:cs="Times New Roman"/>
          <w:sz w:val="24"/>
        </w:rPr>
        <w:t>a</w:t>
      </w:r>
      <w:r w:rsidR="00761CA0" w:rsidRPr="005B2A2C">
        <w:rPr>
          <w:rFonts w:ascii="Times New Roman" w:hAnsi="Times New Roman" w:cs="Times New Roman"/>
          <w:sz w:val="24"/>
        </w:rPr>
        <w:t xml:space="preserve">, te sada iznosi </w:t>
      </w:r>
      <w:r w:rsidR="00884558">
        <w:rPr>
          <w:rFonts w:ascii="Times New Roman" w:hAnsi="Times New Roman" w:cs="Times New Roman"/>
          <w:sz w:val="24"/>
        </w:rPr>
        <w:t>23.547,58 eur</w:t>
      </w:r>
      <w:r w:rsidR="00966871">
        <w:rPr>
          <w:rFonts w:ascii="Times New Roman" w:hAnsi="Times New Roman" w:cs="Times New Roman"/>
          <w:sz w:val="24"/>
        </w:rPr>
        <w:t>a</w:t>
      </w:r>
      <w:r w:rsidR="00B7009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U Knjižnici je zaposlena jedna osoba. U aktivnost Redovna knjižnična djelatnost ubraja</w:t>
      </w:r>
      <w:r w:rsidR="00240270">
        <w:rPr>
          <w:rFonts w:ascii="Times New Roman" w:hAnsi="Times New Roman" w:cs="Times New Roman"/>
          <w:sz w:val="24"/>
        </w:rPr>
        <w:t>ju</w:t>
      </w:r>
      <w:r>
        <w:rPr>
          <w:rFonts w:ascii="Times New Roman" w:hAnsi="Times New Roman" w:cs="Times New Roman"/>
          <w:sz w:val="24"/>
        </w:rPr>
        <w:t xml:space="preserve"> se </w:t>
      </w:r>
      <w:r w:rsidR="00240270" w:rsidRPr="005B2A2C">
        <w:rPr>
          <w:rFonts w:ascii="Times New Roman" w:hAnsi="Times New Roman" w:cs="Times New Roman"/>
          <w:sz w:val="24"/>
        </w:rPr>
        <w:t>rashodi za zaposlene (</w:t>
      </w:r>
      <w:r w:rsidRPr="005B2A2C">
        <w:rPr>
          <w:rFonts w:ascii="Times New Roman" w:hAnsi="Times New Roman" w:cs="Times New Roman"/>
          <w:sz w:val="24"/>
        </w:rPr>
        <w:t>plaća za redovan rad sa svim doprinosima, ostali rashodi za zaposlene</w:t>
      </w:r>
      <w:r w:rsidR="00240270" w:rsidRPr="005B2A2C">
        <w:rPr>
          <w:rFonts w:ascii="Times New Roman" w:hAnsi="Times New Roman" w:cs="Times New Roman"/>
          <w:sz w:val="24"/>
        </w:rPr>
        <w:t>)</w:t>
      </w:r>
      <w:r w:rsidRPr="005B2A2C">
        <w:rPr>
          <w:rFonts w:ascii="Times New Roman" w:hAnsi="Times New Roman" w:cs="Times New Roman"/>
          <w:sz w:val="24"/>
        </w:rPr>
        <w:t xml:space="preserve"> te materijalni i financijski rashodi.</w:t>
      </w:r>
      <w:r w:rsidR="008E249F">
        <w:rPr>
          <w:rFonts w:ascii="Times New Roman" w:hAnsi="Times New Roman" w:cs="Times New Roman"/>
          <w:sz w:val="24"/>
        </w:rPr>
        <w:t xml:space="preserve"> Aktivnost se u velikom djelu oko 99,00 % financira iz općih prihoda i primitaka nadležnog proračuna, te prihoda i primitaka za posebne namjene oko 1 %.</w:t>
      </w:r>
    </w:p>
    <w:p w14:paraId="367317AF" w14:textId="0F3B1709" w:rsidR="00363C3B" w:rsidRPr="005B2A2C" w:rsidRDefault="00714488" w:rsidP="008E249F">
      <w:pPr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B2A2C">
        <w:rPr>
          <w:rFonts w:ascii="Times New Roman" w:hAnsi="Times New Roman" w:cs="Times New Roman"/>
          <w:sz w:val="24"/>
        </w:rPr>
        <w:t xml:space="preserve"> </w:t>
      </w:r>
      <w:r w:rsidRPr="00F255EE">
        <w:rPr>
          <w:rFonts w:ascii="Times New Roman" w:hAnsi="Times New Roman" w:cs="Times New Roman"/>
          <w:b/>
          <w:sz w:val="24"/>
        </w:rPr>
        <w:t xml:space="preserve">Rashodi </w:t>
      </w:r>
      <w:r w:rsidR="00240270" w:rsidRPr="00F255EE">
        <w:rPr>
          <w:rFonts w:ascii="Times New Roman" w:hAnsi="Times New Roman" w:cs="Times New Roman"/>
          <w:b/>
          <w:sz w:val="24"/>
        </w:rPr>
        <w:t>za zaposlene</w:t>
      </w:r>
      <w:r w:rsidR="00F255EE">
        <w:rPr>
          <w:rFonts w:ascii="Times New Roman" w:hAnsi="Times New Roman" w:cs="Times New Roman"/>
          <w:sz w:val="24"/>
        </w:rPr>
        <w:t xml:space="preserve"> ( račun 31)</w:t>
      </w:r>
      <w:r w:rsidR="00240270" w:rsidRPr="005B2A2C">
        <w:rPr>
          <w:rFonts w:ascii="Times New Roman" w:hAnsi="Times New Roman" w:cs="Times New Roman"/>
          <w:sz w:val="24"/>
        </w:rPr>
        <w:t xml:space="preserve"> </w:t>
      </w:r>
      <w:r w:rsidR="00766213" w:rsidRPr="005B2A2C">
        <w:rPr>
          <w:rFonts w:ascii="Times New Roman" w:hAnsi="Times New Roman" w:cs="Times New Roman"/>
          <w:sz w:val="24"/>
        </w:rPr>
        <w:t xml:space="preserve">se </w:t>
      </w:r>
      <w:r w:rsidR="00240270" w:rsidRPr="005B2A2C">
        <w:rPr>
          <w:rFonts w:ascii="Times New Roman" w:hAnsi="Times New Roman" w:cs="Times New Roman"/>
          <w:sz w:val="24"/>
        </w:rPr>
        <w:t>smanjuju za</w:t>
      </w:r>
      <w:r w:rsidR="008E249F">
        <w:rPr>
          <w:rFonts w:ascii="Times New Roman" w:hAnsi="Times New Roman" w:cs="Times New Roman"/>
          <w:sz w:val="24"/>
        </w:rPr>
        <w:t xml:space="preserve"> 1.330,74 </w:t>
      </w:r>
      <w:proofErr w:type="spellStart"/>
      <w:r w:rsidR="008E249F">
        <w:rPr>
          <w:rFonts w:ascii="Times New Roman" w:hAnsi="Times New Roman" w:cs="Times New Roman"/>
          <w:sz w:val="24"/>
        </w:rPr>
        <w:t>eur</w:t>
      </w:r>
      <w:proofErr w:type="spellEnd"/>
      <w:r w:rsidR="00240270" w:rsidRPr="005B2A2C">
        <w:rPr>
          <w:rFonts w:ascii="Times New Roman" w:hAnsi="Times New Roman" w:cs="Times New Roman"/>
          <w:sz w:val="24"/>
        </w:rPr>
        <w:t xml:space="preserve"> te sada iznose</w:t>
      </w:r>
      <w:r w:rsidR="008E249F">
        <w:rPr>
          <w:rFonts w:ascii="Times New Roman" w:hAnsi="Times New Roman" w:cs="Times New Roman"/>
          <w:sz w:val="24"/>
        </w:rPr>
        <w:t xml:space="preserve"> 16.045,99 eur</w:t>
      </w:r>
      <w:r w:rsidR="00966871">
        <w:rPr>
          <w:rFonts w:ascii="Times New Roman" w:hAnsi="Times New Roman" w:cs="Times New Roman"/>
          <w:sz w:val="24"/>
        </w:rPr>
        <w:t>a</w:t>
      </w:r>
      <w:r w:rsidR="008E249F">
        <w:rPr>
          <w:rFonts w:ascii="Times New Roman" w:hAnsi="Times New Roman" w:cs="Times New Roman"/>
          <w:sz w:val="24"/>
        </w:rPr>
        <w:t xml:space="preserve"> i u cijelosti se financiraju iz nadležnog proračuna.</w:t>
      </w:r>
      <w:r w:rsidR="00240270" w:rsidRPr="005B2A2C">
        <w:rPr>
          <w:rFonts w:ascii="Times New Roman" w:hAnsi="Times New Roman" w:cs="Times New Roman"/>
          <w:sz w:val="24"/>
        </w:rPr>
        <w:t xml:space="preserve"> Posljedica smanjenja rashoda je kratkotrajni prekid u radu knjižnice. </w:t>
      </w:r>
    </w:p>
    <w:p w14:paraId="567A1B4C" w14:textId="4329BF08" w:rsidR="0004288B" w:rsidRDefault="00714488" w:rsidP="00363C3B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6475F" w:rsidRPr="00F255EE">
        <w:rPr>
          <w:rFonts w:ascii="Times New Roman" w:hAnsi="Times New Roman" w:cs="Times New Roman"/>
          <w:b/>
          <w:sz w:val="24"/>
        </w:rPr>
        <w:t>Materijalni rashodi</w:t>
      </w:r>
      <w:r w:rsidR="00F255EE">
        <w:rPr>
          <w:rFonts w:ascii="Times New Roman" w:hAnsi="Times New Roman" w:cs="Times New Roman"/>
          <w:sz w:val="24"/>
        </w:rPr>
        <w:t xml:space="preserve"> ( račun 32)</w:t>
      </w:r>
      <w:r w:rsidR="00D6475F">
        <w:rPr>
          <w:rFonts w:ascii="Times New Roman" w:hAnsi="Times New Roman" w:cs="Times New Roman"/>
          <w:sz w:val="24"/>
        </w:rPr>
        <w:t xml:space="preserve"> redovne djelatnosti </w:t>
      </w:r>
      <w:r w:rsidR="008E249F">
        <w:rPr>
          <w:rFonts w:ascii="Times New Roman" w:hAnsi="Times New Roman" w:cs="Times New Roman"/>
          <w:sz w:val="24"/>
        </w:rPr>
        <w:t>odnose se na ostale rashode za zaposlene</w:t>
      </w:r>
      <w:r w:rsidR="00F255EE">
        <w:rPr>
          <w:rFonts w:ascii="Times New Roman" w:hAnsi="Times New Roman" w:cs="Times New Roman"/>
          <w:sz w:val="24"/>
        </w:rPr>
        <w:t>, rashode za usluge, te ostale ne spomenute rashode poslovanja. Rashodi se</w:t>
      </w:r>
      <w:r w:rsidR="008E249F">
        <w:rPr>
          <w:rFonts w:ascii="Times New Roman" w:hAnsi="Times New Roman" w:cs="Times New Roman"/>
          <w:sz w:val="24"/>
        </w:rPr>
        <w:t xml:space="preserve"> </w:t>
      </w:r>
      <w:r w:rsidR="00F255EE">
        <w:rPr>
          <w:rFonts w:ascii="Times New Roman" w:hAnsi="Times New Roman" w:cs="Times New Roman"/>
          <w:sz w:val="24"/>
        </w:rPr>
        <w:t>financiraju</w:t>
      </w:r>
      <w:r w:rsidR="00D6475F">
        <w:rPr>
          <w:rFonts w:ascii="Times New Roman" w:hAnsi="Times New Roman" w:cs="Times New Roman"/>
          <w:sz w:val="24"/>
        </w:rPr>
        <w:t xml:space="preserve"> od strane Općine Gunja</w:t>
      </w:r>
      <w:r w:rsidR="00F255EE">
        <w:rPr>
          <w:rFonts w:ascii="Times New Roman" w:hAnsi="Times New Roman" w:cs="Times New Roman"/>
          <w:sz w:val="24"/>
        </w:rPr>
        <w:t>, tj. nadležnog proračuna</w:t>
      </w:r>
      <w:r w:rsidR="00D6475F">
        <w:rPr>
          <w:rFonts w:ascii="Times New Roman" w:hAnsi="Times New Roman" w:cs="Times New Roman"/>
          <w:sz w:val="24"/>
        </w:rPr>
        <w:t xml:space="preserve">, te od </w:t>
      </w:r>
      <w:r w:rsidR="00997A0F">
        <w:rPr>
          <w:rFonts w:ascii="Times New Roman" w:hAnsi="Times New Roman" w:cs="Times New Roman"/>
          <w:sz w:val="24"/>
        </w:rPr>
        <w:t>posebnih prihoda</w:t>
      </w:r>
      <w:r w:rsidR="00D6475F">
        <w:rPr>
          <w:rFonts w:ascii="Times New Roman" w:hAnsi="Times New Roman" w:cs="Times New Roman"/>
          <w:sz w:val="24"/>
        </w:rPr>
        <w:t xml:space="preserve"> ostvarenih od članarina korisnika knjižnice. </w:t>
      </w:r>
      <w:r w:rsidR="00F255EE">
        <w:rPr>
          <w:rFonts w:ascii="Times New Roman" w:hAnsi="Times New Roman" w:cs="Times New Roman"/>
          <w:sz w:val="24"/>
        </w:rPr>
        <w:t>Ovim izmjenama smanjuju se materijalni rashodi za 480,88 eur</w:t>
      </w:r>
      <w:r w:rsidR="00966871">
        <w:rPr>
          <w:rFonts w:ascii="Times New Roman" w:hAnsi="Times New Roman" w:cs="Times New Roman"/>
          <w:sz w:val="24"/>
        </w:rPr>
        <w:t>a</w:t>
      </w:r>
      <w:r w:rsidR="00F255EE">
        <w:rPr>
          <w:rFonts w:ascii="Times New Roman" w:hAnsi="Times New Roman" w:cs="Times New Roman"/>
          <w:sz w:val="24"/>
        </w:rPr>
        <w:t xml:space="preserve"> i sada iznose 5.588,80 eur</w:t>
      </w:r>
      <w:r w:rsidR="00966871">
        <w:rPr>
          <w:rFonts w:ascii="Times New Roman" w:hAnsi="Times New Roman" w:cs="Times New Roman"/>
          <w:sz w:val="24"/>
        </w:rPr>
        <w:t>a</w:t>
      </w:r>
      <w:r w:rsidR="00F255EE">
        <w:rPr>
          <w:rFonts w:ascii="Times New Roman" w:hAnsi="Times New Roman" w:cs="Times New Roman"/>
          <w:sz w:val="24"/>
        </w:rPr>
        <w:t>.</w:t>
      </w:r>
      <w:r w:rsidR="00BF0A53">
        <w:rPr>
          <w:rFonts w:ascii="Times New Roman" w:hAnsi="Times New Roman" w:cs="Times New Roman"/>
          <w:sz w:val="24"/>
        </w:rPr>
        <w:t xml:space="preserve"> </w:t>
      </w:r>
    </w:p>
    <w:p w14:paraId="317021FB" w14:textId="65BA12F9" w:rsidR="00F255EE" w:rsidRPr="00F255EE" w:rsidRDefault="00F255EE" w:rsidP="00363C3B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Pr="00F255EE">
        <w:rPr>
          <w:rFonts w:ascii="Times New Roman" w:hAnsi="Times New Roman" w:cs="Times New Roman"/>
          <w:b/>
          <w:sz w:val="24"/>
        </w:rPr>
        <w:t>Financijski rashodi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255EE">
        <w:rPr>
          <w:rFonts w:ascii="Times New Roman" w:hAnsi="Times New Roman" w:cs="Times New Roman"/>
          <w:sz w:val="24"/>
        </w:rPr>
        <w:t>se povećavaju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 31,43 eur</w:t>
      </w:r>
      <w:r w:rsidR="00063FA3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i odnose se uglavnom na bankarske usluge i oni sada iznose 363,25 eur</w:t>
      </w:r>
      <w:r w:rsidR="00063FA3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.</w:t>
      </w:r>
    </w:p>
    <w:p w14:paraId="197B9DDC" w14:textId="57B4FB76" w:rsidR="00AA6B90" w:rsidRPr="007B1BF6" w:rsidRDefault="00AA6B90" w:rsidP="0004288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BF6">
        <w:rPr>
          <w:rFonts w:ascii="Times New Roman" w:hAnsi="Times New Roman" w:cs="Times New Roman"/>
          <w:b/>
          <w:i/>
          <w:sz w:val="28"/>
          <w:szCs w:val="28"/>
        </w:rPr>
        <w:t xml:space="preserve">Aktivnost </w:t>
      </w:r>
      <w:r w:rsidR="007B1BF6" w:rsidRPr="007B1BF6">
        <w:rPr>
          <w:rFonts w:ascii="Times New Roman" w:hAnsi="Times New Roman" w:cs="Times New Roman"/>
          <w:b/>
          <w:i/>
          <w:sz w:val="28"/>
          <w:szCs w:val="28"/>
        </w:rPr>
        <w:t xml:space="preserve">A 100002 </w:t>
      </w:r>
      <w:r w:rsidRPr="007B1BF6">
        <w:rPr>
          <w:rFonts w:ascii="Times New Roman" w:hAnsi="Times New Roman" w:cs="Times New Roman"/>
          <w:b/>
          <w:i/>
          <w:sz w:val="28"/>
          <w:szCs w:val="28"/>
        </w:rPr>
        <w:t>Nabava knjižnične građe</w:t>
      </w:r>
    </w:p>
    <w:p w14:paraId="79FB10DF" w14:textId="0CAD6B4C" w:rsidR="00350B6D" w:rsidRDefault="00AA6B90" w:rsidP="00AA6B90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Planirana sredstva za</w:t>
      </w:r>
      <w:r w:rsidR="00380B0D">
        <w:rPr>
          <w:rFonts w:ascii="Times New Roman" w:hAnsi="Times New Roman" w:cs="Times New Roman"/>
          <w:sz w:val="24"/>
        </w:rPr>
        <w:t xml:space="preserve"> nabavu knjižnične građe za 2023. godinu u iznosu su od 4.645,27 eur</w:t>
      </w:r>
      <w:r w:rsidR="00063FA3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. Planirano je da će se iz Općinskog pr</w:t>
      </w:r>
      <w:r w:rsidR="00380B0D">
        <w:rPr>
          <w:rFonts w:ascii="Times New Roman" w:hAnsi="Times New Roman" w:cs="Times New Roman"/>
          <w:sz w:val="24"/>
        </w:rPr>
        <w:t>oračuna osigurati 663,61 eur</w:t>
      </w:r>
      <w:r w:rsidR="00063FA3">
        <w:rPr>
          <w:rFonts w:ascii="Times New Roman" w:hAnsi="Times New Roman" w:cs="Times New Roman"/>
          <w:sz w:val="24"/>
        </w:rPr>
        <w:t xml:space="preserve">a </w:t>
      </w:r>
      <w:r w:rsidR="00380B0D">
        <w:rPr>
          <w:rFonts w:ascii="Times New Roman" w:hAnsi="Times New Roman" w:cs="Times New Roman"/>
          <w:sz w:val="24"/>
        </w:rPr>
        <w:t xml:space="preserve">i od pomoći tj. </w:t>
      </w:r>
      <w:r>
        <w:rPr>
          <w:rFonts w:ascii="Times New Roman" w:hAnsi="Times New Roman" w:cs="Times New Roman"/>
          <w:sz w:val="24"/>
        </w:rPr>
        <w:t xml:space="preserve"> od Vuk</w:t>
      </w:r>
      <w:r w:rsidR="00545AC1">
        <w:rPr>
          <w:rFonts w:ascii="Times New Roman" w:hAnsi="Times New Roman" w:cs="Times New Roman"/>
          <w:sz w:val="24"/>
        </w:rPr>
        <w:t>o</w:t>
      </w:r>
      <w:r w:rsidR="00380B0D">
        <w:rPr>
          <w:rFonts w:ascii="Times New Roman" w:hAnsi="Times New Roman" w:cs="Times New Roman"/>
          <w:sz w:val="24"/>
        </w:rPr>
        <w:t>varsko-srijemske županije</w:t>
      </w:r>
      <w:r>
        <w:rPr>
          <w:rFonts w:ascii="Times New Roman" w:hAnsi="Times New Roman" w:cs="Times New Roman"/>
          <w:sz w:val="24"/>
        </w:rPr>
        <w:t xml:space="preserve"> i Ministarstva kulture </w:t>
      </w:r>
      <w:r w:rsidR="00592223">
        <w:rPr>
          <w:rFonts w:ascii="Times New Roman" w:hAnsi="Times New Roman" w:cs="Times New Roman"/>
          <w:sz w:val="24"/>
        </w:rPr>
        <w:t xml:space="preserve">i medija </w:t>
      </w:r>
      <w:r w:rsidR="00380B0D">
        <w:rPr>
          <w:rFonts w:ascii="Times New Roman" w:hAnsi="Times New Roman" w:cs="Times New Roman"/>
          <w:sz w:val="24"/>
        </w:rPr>
        <w:t>sveukupno 3.981,66 eur</w:t>
      </w:r>
      <w:r w:rsidR="00063FA3">
        <w:rPr>
          <w:rFonts w:ascii="Times New Roman" w:hAnsi="Times New Roman" w:cs="Times New Roman"/>
          <w:sz w:val="24"/>
        </w:rPr>
        <w:t>a</w:t>
      </w:r>
      <w:r w:rsidR="00380B0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592223">
        <w:rPr>
          <w:rFonts w:ascii="Times New Roman" w:hAnsi="Times New Roman" w:cs="Times New Roman"/>
          <w:sz w:val="24"/>
        </w:rPr>
        <w:tab/>
      </w:r>
      <w:r w:rsidR="00B866D6">
        <w:rPr>
          <w:rFonts w:ascii="Times New Roman" w:hAnsi="Times New Roman" w:cs="Times New Roman"/>
          <w:sz w:val="24"/>
        </w:rPr>
        <w:t xml:space="preserve">U I. Izmjenama </w:t>
      </w:r>
      <w:r w:rsidR="00B866D6" w:rsidRPr="005B2A2C">
        <w:rPr>
          <w:rFonts w:ascii="Times New Roman" w:hAnsi="Times New Roman" w:cs="Times New Roman"/>
          <w:sz w:val="24"/>
        </w:rPr>
        <w:t>biljež</w:t>
      </w:r>
      <w:r w:rsidR="00380B0D">
        <w:rPr>
          <w:rFonts w:ascii="Times New Roman" w:hAnsi="Times New Roman" w:cs="Times New Roman"/>
          <w:sz w:val="24"/>
        </w:rPr>
        <w:t xml:space="preserve">i se povećanje </w:t>
      </w:r>
      <w:r w:rsidR="00984DDA" w:rsidRPr="005B2A2C">
        <w:rPr>
          <w:rFonts w:ascii="Times New Roman" w:hAnsi="Times New Roman" w:cs="Times New Roman"/>
          <w:sz w:val="24"/>
        </w:rPr>
        <w:t xml:space="preserve"> rashoda </w:t>
      </w:r>
      <w:r w:rsidR="007B1BF6">
        <w:rPr>
          <w:rFonts w:ascii="Times New Roman" w:hAnsi="Times New Roman" w:cs="Times New Roman"/>
          <w:sz w:val="24"/>
        </w:rPr>
        <w:t>u ukupnom  iznosu 674,63</w:t>
      </w:r>
      <w:r w:rsidR="00380B0D">
        <w:rPr>
          <w:rFonts w:ascii="Times New Roman" w:hAnsi="Times New Roman" w:cs="Times New Roman"/>
          <w:sz w:val="24"/>
        </w:rPr>
        <w:t xml:space="preserve"> </w:t>
      </w:r>
      <w:r w:rsidR="00984DDA">
        <w:rPr>
          <w:rFonts w:ascii="Times New Roman" w:hAnsi="Times New Roman" w:cs="Times New Roman"/>
          <w:sz w:val="24"/>
        </w:rPr>
        <w:t>, sukladno dobivenim prihodima.</w:t>
      </w:r>
      <w:r w:rsidR="00350B6D">
        <w:rPr>
          <w:rFonts w:ascii="Times New Roman" w:hAnsi="Times New Roman" w:cs="Times New Roman"/>
          <w:sz w:val="24"/>
        </w:rPr>
        <w:t xml:space="preserve"> Rashodi za nabavu nefinancijske imovine financirani iz proračuna Općine Gunj</w:t>
      </w:r>
      <w:r w:rsidR="007B1BF6">
        <w:rPr>
          <w:rFonts w:ascii="Times New Roman" w:hAnsi="Times New Roman" w:cs="Times New Roman"/>
          <w:sz w:val="24"/>
        </w:rPr>
        <w:t xml:space="preserve">a umanjuju se te sada iznose  0,00 </w:t>
      </w:r>
      <w:proofErr w:type="spellStart"/>
      <w:r w:rsidR="007B1BF6">
        <w:rPr>
          <w:rFonts w:ascii="Times New Roman" w:hAnsi="Times New Roman" w:cs="Times New Roman"/>
          <w:sz w:val="24"/>
        </w:rPr>
        <w:t>eur</w:t>
      </w:r>
      <w:proofErr w:type="spellEnd"/>
      <w:r w:rsidR="00350B6D">
        <w:rPr>
          <w:rFonts w:ascii="Times New Roman" w:hAnsi="Times New Roman" w:cs="Times New Roman"/>
          <w:sz w:val="24"/>
        </w:rPr>
        <w:t>,</w:t>
      </w:r>
      <w:r w:rsidR="007B1BF6">
        <w:rPr>
          <w:rFonts w:ascii="Times New Roman" w:hAnsi="Times New Roman" w:cs="Times New Roman"/>
          <w:sz w:val="24"/>
        </w:rPr>
        <w:t xml:space="preserve"> a povećavaju se</w:t>
      </w:r>
      <w:r w:rsidR="00350B6D">
        <w:rPr>
          <w:rFonts w:ascii="Times New Roman" w:hAnsi="Times New Roman" w:cs="Times New Roman"/>
          <w:sz w:val="24"/>
        </w:rPr>
        <w:t xml:space="preserve"> iz </w:t>
      </w:r>
      <w:r w:rsidR="007B1BF6">
        <w:rPr>
          <w:rFonts w:ascii="Times New Roman" w:hAnsi="Times New Roman" w:cs="Times New Roman"/>
          <w:sz w:val="24"/>
        </w:rPr>
        <w:t>sredstava Pomoći za 1.338,24 euri sada iznose 5.319,90 eura</w:t>
      </w:r>
      <w:r w:rsidR="00350B6D">
        <w:rPr>
          <w:rFonts w:ascii="Times New Roman" w:hAnsi="Times New Roman" w:cs="Times New Roman"/>
          <w:sz w:val="24"/>
        </w:rPr>
        <w:t>.</w:t>
      </w:r>
    </w:p>
    <w:p w14:paraId="2D0A6F83" w14:textId="41C5BA2D" w:rsidR="00AA6B90" w:rsidRPr="005D46BB" w:rsidRDefault="00984DDA" w:rsidP="007B1BF6">
      <w:pPr>
        <w:spacing w:after="20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D46BB">
        <w:rPr>
          <w:rFonts w:ascii="Times New Roman" w:hAnsi="Times New Roman" w:cs="Times New Roman"/>
          <w:sz w:val="24"/>
        </w:rPr>
        <w:tab/>
      </w:r>
      <w:r w:rsidR="007B1BF6" w:rsidRPr="005D46BB">
        <w:rPr>
          <w:rFonts w:ascii="Times New Roman" w:hAnsi="Times New Roman" w:cs="Times New Roman"/>
          <w:sz w:val="28"/>
          <w:szCs w:val="28"/>
        </w:rPr>
        <w:t xml:space="preserve"> </w:t>
      </w:r>
      <w:r w:rsidR="00AA6B90" w:rsidRPr="005D46BB">
        <w:rPr>
          <w:rFonts w:ascii="Times New Roman" w:hAnsi="Times New Roman" w:cs="Times New Roman"/>
          <w:b/>
          <w:i/>
          <w:sz w:val="28"/>
          <w:szCs w:val="28"/>
        </w:rPr>
        <w:t>Aktivnost</w:t>
      </w:r>
      <w:r w:rsidR="005D46BB" w:rsidRPr="005D46BB">
        <w:rPr>
          <w:rFonts w:ascii="Times New Roman" w:hAnsi="Times New Roman" w:cs="Times New Roman"/>
          <w:b/>
          <w:i/>
          <w:sz w:val="28"/>
          <w:szCs w:val="28"/>
        </w:rPr>
        <w:t xml:space="preserve"> A100003</w:t>
      </w:r>
      <w:r w:rsidR="00AA6B90" w:rsidRPr="005D46BB">
        <w:rPr>
          <w:rFonts w:ascii="Times New Roman" w:hAnsi="Times New Roman" w:cs="Times New Roman"/>
          <w:b/>
          <w:i/>
          <w:sz w:val="28"/>
          <w:szCs w:val="28"/>
        </w:rPr>
        <w:t xml:space="preserve"> Mjesec hrvatske knjige</w:t>
      </w:r>
    </w:p>
    <w:p w14:paraId="142AF03E" w14:textId="3E9D72B2" w:rsidR="00F53DA0" w:rsidRDefault="00AA6B90" w:rsidP="00911341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Prema Financijskome planu Javne ustanove Narodne knj</w:t>
      </w:r>
      <w:r w:rsidR="007B1BF6">
        <w:rPr>
          <w:rFonts w:ascii="Times New Roman" w:hAnsi="Times New Roman" w:cs="Times New Roman"/>
          <w:sz w:val="24"/>
        </w:rPr>
        <w:t>ižnice i čitaonice Gunja za 2023</w:t>
      </w:r>
      <w:r>
        <w:rPr>
          <w:rFonts w:ascii="Times New Roman" w:hAnsi="Times New Roman" w:cs="Times New Roman"/>
          <w:sz w:val="24"/>
        </w:rPr>
        <w:t>. godin</w:t>
      </w:r>
      <w:r w:rsidR="007B1BF6">
        <w:rPr>
          <w:rFonts w:ascii="Times New Roman" w:hAnsi="Times New Roman" w:cs="Times New Roman"/>
          <w:sz w:val="24"/>
        </w:rPr>
        <w:t>u, u cijelosti iz sredstava nadležnog proračuna  planiran je iznos od 729,97 eur</w:t>
      </w:r>
      <w:r w:rsidR="00063FA3">
        <w:rPr>
          <w:rFonts w:ascii="Times New Roman" w:hAnsi="Times New Roman" w:cs="Times New Roman"/>
          <w:sz w:val="24"/>
        </w:rPr>
        <w:t>a</w:t>
      </w:r>
      <w:r w:rsidR="007B1BF6">
        <w:rPr>
          <w:rFonts w:ascii="Times New Roman" w:hAnsi="Times New Roman" w:cs="Times New Roman"/>
          <w:sz w:val="24"/>
        </w:rPr>
        <w:t>. Po novom planu taj iznos se smanjuje</w:t>
      </w:r>
      <w:r w:rsidR="005D46BB">
        <w:rPr>
          <w:rFonts w:ascii="Times New Roman" w:hAnsi="Times New Roman" w:cs="Times New Roman"/>
          <w:sz w:val="24"/>
        </w:rPr>
        <w:t xml:space="preserve"> za 263,61 eur</w:t>
      </w:r>
      <w:r w:rsidR="00063FA3">
        <w:rPr>
          <w:rFonts w:ascii="Times New Roman" w:hAnsi="Times New Roman" w:cs="Times New Roman"/>
          <w:sz w:val="24"/>
        </w:rPr>
        <w:t>a</w:t>
      </w:r>
      <w:r w:rsidR="005D46BB">
        <w:rPr>
          <w:rFonts w:ascii="Times New Roman" w:hAnsi="Times New Roman" w:cs="Times New Roman"/>
          <w:sz w:val="24"/>
        </w:rPr>
        <w:t xml:space="preserve"> i sada iznosi </w:t>
      </w:r>
      <w:r w:rsidR="007B1BF6">
        <w:rPr>
          <w:rFonts w:ascii="Times New Roman" w:hAnsi="Times New Roman" w:cs="Times New Roman"/>
          <w:sz w:val="24"/>
        </w:rPr>
        <w:t>466,36 eur</w:t>
      </w:r>
      <w:r w:rsidR="00063FA3">
        <w:rPr>
          <w:rFonts w:ascii="Times New Roman" w:hAnsi="Times New Roman" w:cs="Times New Roman"/>
          <w:sz w:val="24"/>
        </w:rPr>
        <w:t>a</w:t>
      </w:r>
      <w:r w:rsidR="007B1BF6">
        <w:rPr>
          <w:rFonts w:ascii="Times New Roman" w:hAnsi="Times New Roman" w:cs="Times New Roman"/>
          <w:sz w:val="24"/>
        </w:rPr>
        <w:t>.</w:t>
      </w:r>
    </w:p>
    <w:p w14:paraId="1064E561" w14:textId="71113EFC" w:rsidR="00350B6D" w:rsidRPr="005D46BB" w:rsidRDefault="00350B6D" w:rsidP="005D46BB">
      <w:pPr>
        <w:spacing w:after="20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6BB">
        <w:rPr>
          <w:rFonts w:ascii="Times New Roman" w:hAnsi="Times New Roman" w:cs="Times New Roman"/>
          <w:b/>
          <w:i/>
          <w:sz w:val="28"/>
          <w:szCs w:val="28"/>
        </w:rPr>
        <w:t>Aktivnost</w:t>
      </w:r>
      <w:r w:rsidR="005D46BB">
        <w:rPr>
          <w:rFonts w:ascii="Times New Roman" w:hAnsi="Times New Roman" w:cs="Times New Roman"/>
          <w:b/>
          <w:i/>
          <w:sz w:val="28"/>
          <w:szCs w:val="28"/>
        </w:rPr>
        <w:t xml:space="preserve"> A100004</w:t>
      </w:r>
      <w:r w:rsidR="005D46BB" w:rsidRPr="005D46BB">
        <w:rPr>
          <w:rFonts w:ascii="Times New Roman" w:hAnsi="Times New Roman" w:cs="Times New Roman"/>
          <w:b/>
          <w:i/>
          <w:sz w:val="28"/>
          <w:szCs w:val="28"/>
        </w:rPr>
        <w:t xml:space="preserve"> Program za djecu „ Noć knjige</w:t>
      </w:r>
      <w:r w:rsidRPr="005D46BB">
        <w:rPr>
          <w:rFonts w:ascii="Times New Roman" w:hAnsi="Times New Roman" w:cs="Times New Roman"/>
          <w:b/>
          <w:i/>
          <w:sz w:val="28"/>
          <w:szCs w:val="28"/>
        </w:rPr>
        <w:t xml:space="preserve">“ </w:t>
      </w:r>
    </w:p>
    <w:p w14:paraId="4E40991B" w14:textId="3945DB13" w:rsidR="00350B6D" w:rsidRPr="005B2A2C" w:rsidRDefault="00FC5BA5" w:rsidP="00911341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Aktivnost je planirana iz sredstava nadležnog proračuna i po novom planu bilježi s</w:t>
      </w:r>
      <w:r w:rsidR="00350B6D" w:rsidRPr="005B2A2C">
        <w:rPr>
          <w:rFonts w:ascii="Times New Roman" w:hAnsi="Times New Roman" w:cs="Times New Roman"/>
          <w:sz w:val="24"/>
        </w:rPr>
        <w:t>manjenje rashoda</w:t>
      </w:r>
      <w:r w:rsidR="005D46BB">
        <w:rPr>
          <w:rFonts w:ascii="Times New Roman" w:hAnsi="Times New Roman" w:cs="Times New Roman"/>
          <w:sz w:val="24"/>
        </w:rPr>
        <w:t xml:space="preserve"> u ukupnom iznosu od 265,44 eur</w:t>
      </w:r>
      <w:r w:rsidR="00063FA3">
        <w:rPr>
          <w:rFonts w:ascii="Times New Roman" w:hAnsi="Times New Roman" w:cs="Times New Roman"/>
          <w:sz w:val="24"/>
        </w:rPr>
        <w:t>a</w:t>
      </w:r>
      <w:r w:rsidR="00350B6D" w:rsidRPr="005B2A2C">
        <w:rPr>
          <w:rFonts w:ascii="Times New Roman" w:hAnsi="Times New Roman" w:cs="Times New Roman"/>
          <w:sz w:val="24"/>
        </w:rPr>
        <w:t>.</w:t>
      </w:r>
    </w:p>
    <w:p w14:paraId="1944FA0E" w14:textId="26080B3D" w:rsidR="00350B6D" w:rsidRPr="005D46BB" w:rsidRDefault="00350B6D" w:rsidP="005D46BB">
      <w:pPr>
        <w:spacing w:after="20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6BB">
        <w:rPr>
          <w:rFonts w:ascii="Times New Roman" w:hAnsi="Times New Roman" w:cs="Times New Roman"/>
          <w:b/>
          <w:i/>
          <w:sz w:val="28"/>
          <w:szCs w:val="28"/>
        </w:rPr>
        <w:t>Aktivnost</w:t>
      </w:r>
      <w:r w:rsidR="009C5542" w:rsidRPr="005D46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46BB" w:rsidRPr="005D46BB">
        <w:rPr>
          <w:rFonts w:ascii="Times New Roman" w:hAnsi="Times New Roman" w:cs="Times New Roman"/>
          <w:b/>
          <w:i/>
          <w:sz w:val="28"/>
          <w:szCs w:val="28"/>
        </w:rPr>
        <w:t xml:space="preserve"> A 100005 </w:t>
      </w:r>
      <w:r w:rsidR="009C5542" w:rsidRPr="005D46BB">
        <w:rPr>
          <w:rFonts w:ascii="Times New Roman" w:hAnsi="Times New Roman" w:cs="Times New Roman"/>
          <w:b/>
          <w:i/>
          <w:sz w:val="28"/>
          <w:szCs w:val="28"/>
        </w:rPr>
        <w:t>Program za djecu „ Ljeto u knjižnici</w:t>
      </w:r>
      <w:r w:rsidRPr="005D46BB">
        <w:rPr>
          <w:rFonts w:ascii="Times New Roman" w:hAnsi="Times New Roman" w:cs="Times New Roman"/>
          <w:b/>
          <w:i/>
          <w:sz w:val="28"/>
          <w:szCs w:val="28"/>
        </w:rPr>
        <w:t>“</w:t>
      </w:r>
    </w:p>
    <w:p w14:paraId="2948E916" w14:textId="2F811C21" w:rsidR="009C5542" w:rsidRPr="005B2A2C" w:rsidRDefault="005D46BB" w:rsidP="00911341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Prema izvornom</w:t>
      </w:r>
      <w:r w:rsidR="00063FA3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planu,  aktivnost se u cijelosti financira iz sredstava općeg proračuna. Po novom planu  predviđeno je smanjenje iznosa od 51,10 eur</w:t>
      </w:r>
      <w:r w:rsidR="00063FA3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i sada ono iznosi 530,90 eur</w:t>
      </w:r>
      <w:r w:rsidR="00063FA3">
        <w:rPr>
          <w:rFonts w:ascii="Times New Roman" w:hAnsi="Times New Roman" w:cs="Times New Roman"/>
          <w:sz w:val="24"/>
        </w:rPr>
        <w:t>a</w:t>
      </w:r>
      <w:r w:rsidR="009C5542" w:rsidRPr="005B2A2C">
        <w:rPr>
          <w:rFonts w:ascii="Times New Roman" w:hAnsi="Times New Roman" w:cs="Times New Roman"/>
          <w:sz w:val="24"/>
        </w:rPr>
        <w:t>.</w:t>
      </w:r>
    </w:p>
    <w:p w14:paraId="6981313B" w14:textId="77777777" w:rsidR="005D46BB" w:rsidRDefault="005D46BB" w:rsidP="005D46BB">
      <w:pPr>
        <w:spacing w:after="20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6BB">
        <w:rPr>
          <w:rFonts w:ascii="Times New Roman" w:hAnsi="Times New Roman" w:cs="Times New Roman"/>
          <w:b/>
          <w:i/>
          <w:sz w:val="28"/>
          <w:szCs w:val="28"/>
        </w:rPr>
        <w:t>Aktivnost  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100006 </w:t>
      </w:r>
      <w:r w:rsidRPr="005D46BB">
        <w:rPr>
          <w:rFonts w:ascii="Times New Roman" w:hAnsi="Times New Roman" w:cs="Times New Roman"/>
          <w:b/>
          <w:i/>
          <w:sz w:val="28"/>
          <w:szCs w:val="28"/>
        </w:rPr>
        <w:t xml:space="preserve"> Program </w:t>
      </w:r>
      <w:r>
        <w:rPr>
          <w:rFonts w:ascii="Times New Roman" w:hAnsi="Times New Roman" w:cs="Times New Roman"/>
          <w:b/>
          <w:i/>
          <w:sz w:val="28"/>
          <w:szCs w:val="28"/>
        </w:rPr>
        <w:t>„Međunarodni dan dječje knjige“</w:t>
      </w:r>
    </w:p>
    <w:p w14:paraId="32F219F9" w14:textId="54E6A8AB" w:rsidR="00FC5BA5" w:rsidRDefault="00FC5BA5" w:rsidP="00FC5BA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Aktivnost je planirana iz sredstava nadležnog proračuna i po novom planu bilježi s</w:t>
      </w:r>
      <w:r w:rsidRPr="005B2A2C">
        <w:rPr>
          <w:rFonts w:ascii="Times New Roman" w:hAnsi="Times New Roman" w:cs="Times New Roman"/>
          <w:sz w:val="24"/>
        </w:rPr>
        <w:t>manjenje rashoda</w:t>
      </w:r>
      <w:r>
        <w:rPr>
          <w:rFonts w:ascii="Times New Roman" w:hAnsi="Times New Roman" w:cs="Times New Roman"/>
          <w:sz w:val="24"/>
        </w:rPr>
        <w:t xml:space="preserve"> u ukupnom iznosu od 265,44 eur</w:t>
      </w:r>
      <w:r w:rsidR="00063FA3">
        <w:rPr>
          <w:rFonts w:ascii="Times New Roman" w:hAnsi="Times New Roman" w:cs="Times New Roman"/>
          <w:sz w:val="24"/>
        </w:rPr>
        <w:t>a</w:t>
      </w:r>
      <w:r w:rsidRPr="005B2A2C">
        <w:rPr>
          <w:rFonts w:ascii="Times New Roman" w:hAnsi="Times New Roman" w:cs="Times New Roman"/>
          <w:sz w:val="24"/>
        </w:rPr>
        <w:t>.</w:t>
      </w:r>
    </w:p>
    <w:p w14:paraId="4134B616" w14:textId="77777777" w:rsidR="00900A89" w:rsidRPr="005B2A2C" w:rsidRDefault="00900A89" w:rsidP="00FC5BA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</w:p>
    <w:p w14:paraId="47B21D26" w14:textId="1733E8E7" w:rsidR="005D46BB" w:rsidRPr="005D46BB" w:rsidRDefault="00FC5BA5" w:rsidP="00FC5BA5">
      <w:pPr>
        <w:spacing w:after="20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6BB">
        <w:rPr>
          <w:rFonts w:ascii="Times New Roman" w:hAnsi="Times New Roman" w:cs="Times New Roman"/>
          <w:b/>
          <w:i/>
          <w:sz w:val="28"/>
          <w:szCs w:val="28"/>
        </w:rPr>
        <w:t>Aktivnost  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100007 Nabava uredske opreme i namještaja</w:t>
      </w:r>
    </w:p>
    <w:p w14:paraId="1241431D" w14:textId="3B8B5C96" w:rsidR="00FC5BA5" w:rsidRDefault="00FC5BA5" w:rsidP="00FC5BA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Aktivnost je planirana iz sredstava pomoći i po novom planu bilježi s</w:t>
      </w:r>
      <w:r w:rsidRPr="005B2A2C">
        <w:rPr>
          <w:rFonts w:ascii="Times New Roman" w:hAnsi="Times New Roman" w:cs="Times New Roman"/>
          <w:sz w:val="24"/>
        </w:rPr>
        <w:t>manjenje rashoda</w:t>
      </w:r>
      <w:r>
        <w:rPr>
          <w:rFonts w:ascii="Times New Roman" w:hAnsi="Times New Roman" w:cs="Times New Roman"/>
          <w:sz w:val="24"/>
        </w:rPr>
        <w:t xml:space="preserve"> u ukupnom iznosu od 2.090,38 eur</w:t>
      </w:r>
      <w:r w:rsidR="00900A89">
        <w:rPr>
          <w:rFonts w:ascii="Times New Roman" w:hAnsi="Times New Roman" w:cs="Times New Roman"/>
          <w:sz w:val="24"/>
        </w:rPr>
        <w:t>a</w:t>
      </w:r>
      <w:r w:rsidRPr="005B2A2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Projekt nije prošao na Javnom pozivu.</w:t>
      </w:r>
    </w:p>
    <w:p w14:paraId="16299931" w14:textId="77777777" w:rsidR="00063FA3" w:rsidRPr="005B2A2C" w:rsidRDefault="00063FA3" w:rsidP="00FC5BA5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</w:p>
    <w:p w14:paraId="017C6BD2" w14:textId="62977AC3" w:rsidR="00FC5BA5" w:rsidRDefault="00FC5BA5" w:rsidP="00911341">
      <w:pPr>
        <w:spacing w:after="20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6BB">
        <w:rPr>
          <w:rFonts w:ascii="Times New Roman" w:hAnsi="Times New Roman" w:cs="Times New Roman"/>
          <w:b/>
          <w:i/>
          <w:sz w:val="28"/>
          <w:szCs w:val="28"/>
        </w:rPr>
        <w:t>Aktivnost  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100008 Advent u knjižnici </w:t>
      </w:r>
    </w:p>
    <w:p w14:paraId="684D84EF" w14:textId="6EF936E3" w:rsidR="00FC5BA5" w:rsidRDefault="00FC5BA5" w:rsidP="00911341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BA5">
        <w:rPr>
          <w:rFonts w:ascii="Times New Roman" w:hAnsi="Times New Roman" w:cs="Times New Roman"/>
          <w:sz w:val="24"/>
          <w:szCs w:val="24"/>
        </w:rPr>
        <w:t>Aktivnost je planirana po novom planu i u cijelosti iz sredstava nadležnog proračuna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314960" w14:textId="77777777" w:rsidR="00900A89" w:rsidRPr="00FC5BA5" w:rsidRDefault="00900A89" w:rsidP="00911341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33FFE" w14:textId="77777777" w:rsidR="00AA6B90" w:rsidRDefault="00AA6B90" w:rsidP="00AA6B90">
      <w:p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Privitak:</w:t>
      </w:r>
    </w:p>
    <w:p w14:paraId="72EABB20" w14:textId="5F99B852" w:rsidR="00AA6B90" w:rsidRDefault="00AA6B90" w:rsidP="00AA6B9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Obrazac – Prijedlog I. Izmjena Financijskog plan</w:t>
      </w:r>
      <w:r w:rsidR="00FC5BA5">
        <w:rPr>
          <w:rFonts w:ascii="Times New Roman" w:hAnsi="Times New Roman" w:cs="Times New Roman"/>
          <w:sz w:val="24"/>
        </w:rPr>
        <w:t xml:space="preserve">a (proračunski korisnik) </w:t>
      </w:r>
    </w:p>
    <w:p w14:paraId="1CCD0BB7" w14:textId="77777777" w:rsidR="00AA6B90" w:rsidRDefault="00AA6B90" w:rsidP="00911341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014729C0" w14:textId="77777777" w:rsidR="00AA6B90" w:rsidRDefault="00AA6B90" w:rsidP="00AA6B90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</w:p>
    <w:p w14:paraId="22195C0E" w14:textId="77777777" w:rsidR="00AA6B90" w:rsidRDefault="00AA6B90" w:rsidP="00AA6B90">
      <w:pPr>
        <w:spacing w:after="0" w:line="276" w:lineRule="auto"/>
        <w:ind w:left="495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Vršiteljica dužnosti ravnateljice</w:t>
      </w:r>
    </w:p>
    <w:p w14:paraId="41ED4C7E" w14:textId="77777777" w:rsidR="00AA6B90" w:rsidRDefault="00AA6B90" w:rsidP="00AA6B90">
      <w:pPr>
        <w:spacing w:after="0" w:line="276" w:lineRule="auto"/>
        <w:ind w:left="495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Narodne knjižnice i čitaonice Gunja</w:t>
      </w:r>
    </w:p>
    <w:p w14:paraId="479C6716" w14:textId="2EB08A1A" w:rsidR="00AA6B90" w:rsidRDefault="00851DF8" w:rsidP="00AA6B90">
      <w:pPr>
        <w:spacing w:after="0" w:line="276" w:lineRule="auto"/>
        <w:ind w:left="495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Žana </w:t>
      </w:r>
      <w:proofErr w:type="spellStart"/>
      <w:r>
        <w:rPr>
          <w:rFonts w:ascii="Times New Roman" w:hAnsi="Times New Roman" w:cs="Times New Roman"/>
          <w:sz w:val="24"/>
        </w:rPr>
        <w:t>Kužet</w:t>
      </w:r>
      <w:proofErr w:type="spellEnd"/>
      <w:r w:rsidR="00AA6B9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A6B90">
        <w:rPr>
          <w:rFonts w:ascii="Times New Roman" w:hAnsi="Times New Roman" w:cs="Times New Roman"/>
          <w:sz w:val="24"/>
        </w:rPr>
        <w:t>mag.cult</w:t>
      </w:r>
      <w:proofErr w:type="spellEnd"/>
      <w:r w:rsidR="00AA6B90">
        <w:rPr>
          <w:rFonts w:ascii="Times New Roman" w:hAnsi="Times New Roman" w:cs="Times New Roman"/>
          <w:sz w:val="24"/>
        </w:rPr>
        <w:t>.</w:t>
      </w:r>
    </w:p>
    <w:sectPr w:rsidR="00AA6B90" w:rsidSect="00AA6B90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FE90" w14:textId="77777777" w:rsidR="00F045C2" w:rsidRDefault="00F045C2" w:rsidP="00AA6B90">
      <w:pPr>
        <w:spacing w:after="0" w:line="240" w:lineRule="auto"/>
      </w:pPr>
      <w:r>
        <w:separator/>
      </w:r>
    </w:p>
  </w:endnote>
  <w:endnote w:type="continuationSeparator" w:id="0">
    <w:p w14:paraId="2D68016D" w14:textId="77777777" w:rsidR="00F045C2" w:rsidRDefault="00F045C2" w:rsidP="00AA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9014738"/>
      <w:docPartObj>
        <w:docPartGallery w:val="Page Numbers (Bottom of Page)"/>
        <w:docPartUnique/>
      </w:docPartObj>
    </w:sdtPr>
    <w:sdtContent>
      <w:p w14:paraId="4ABFC191" w14:textId="5C4908E1" w:rsidR="000F0571" w:rsidRDefault="000F057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735">
          <w:rPr>
            <w:noProof/>
          </w:rPr>
          <w:t>9</w:t>
        </w:r>
        <w:r>
          <w:fldChar w:fldCharType="end"/>
        </w:r>
      </w:p>
    </w:sdtContent>
  </w:sdt>
  <w:p w14:paraId="0F7C910D" w14:textId="77777777" w:rsidR="000F0571" w:rsidRDefault="000F057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958E" w14:textId="2C746E09" w:rsidR="000F0571" w:rsidRDefault="000F0571" w:rsidP="00AA6B90">
    <w:pPr>
      <w:pStyle w:val="Podnoje"/>
      <w:tabs>
        <w:tab w:val="clear" w:pos="4536"/>
        <w:tab w:val="clear" w:pos="9072"/>
        <w:tab w:val="left" w:pos="5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849A" w14:textId="77777777" w:rsidR="00F045C2" w:rsidRDefault="00F045C2" w:rsidP="00AA6B90">
      <w:pPr>
        <w:spacing w:after="0" w:line="240" w:lineRule="auto"/>
      </w:pPr>
      <w:r>
        <w:separator/>
      </w:r>
    </w:p>
  </w:footnote>
  <w:footnote w:type="continuationSeparator" w:id="0">
    <w:p w14:paraId="3FF6A59A" w14:textId="77777777" w:rsidR="00F045C2" w:rsidRDefault="00F045C2" w:rsidP="00AA6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5BCE"/>
    <w:multiLevelType w:val="hybridMultilevel"/>
    <w:tmpl w:val="9A4E0724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7F6476"/>
    <w:multiLevelType w:val="hybridMultilevel"/>
    <w:tmpl w:val="0002AB14"/>
    <w:lvl w:ilvl="0" w:tplc="9890421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A04F3C"/>
    <w:multiLevelType w:val="hybridMultilevel"/>
    <w:tmpl w:val="DD6E68B6"/>
    <w:lvl w:ilvl="0" w:tplc="4BDCA1C2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3537C"/>
    <w:multiLevelType w:val="hybridMultilevel"/>
    <w:tmpl w:val="9A4E0724"/>
    <w:lvl w:ilvl="0" w:tplc="4766901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771F4F"/>
    <w:multiLevelType w:val="hybridMultilevel"/>
    <w:tmpl w:val="82740F0E"/>
    <w:lvl w:ilvl="0" w:tplc="4BDCA1C2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64DFE"/>
    <w:multiLevelType w:val="hybridMultilevel"/>
    <w:tmpl w:val="792E4708"/>
    <w:lvl w:ilvl="0" w:tplc="4BDCA1C2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D7CD7"/>
    <w:multiLevelType w:val="hybridMultilevel"/>
    <w:tmpl w:val="3516040A"/>
    <w:lvl w:ilvl="0" w:tplc="E07CA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22B13"/>
    <w:multiLevelType w:val="hybridMultilevel"/>
    <w:tmpl w:val="FEBC02E4"/>
    <w:lvl w:ilvl="0" w:tplc="E06AB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27588"/>
    <w:multiLevelType w:val="hybridMultilevel"/>
    <w:tmpl w:val="E1C4C470"/>
    <w:lvl w:ilvl="0" w:tplc="4BDCA1C2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A09AD"/>
    <w:multiLevelType w:val="hybridMultilevel"/>
    <w:tmpl w:val="C05297A6"/>
    <w:lvl w:ilvl="0" w:tplc="4BDCA1C2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C52DE"/>
    <w:multiLevelType w:val="hybridMultilevel"/>
    <w:tmpl w:val="BA0A920E"/>
    <w:lvl w:ilvl="0" w:tplc="1C66E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6682E"/>
    <w:multiLevelType w:val="hybridMultilevel"/>
    <w:tmpl w:val="D1B6F2AE"/>
    <w:lvl w:ilvl="0" w:tplc="4BDCA1C2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86392"/>
    <w:multiLevelType w:val="multilevel"/>
    <w:tmpl w:val="507AB0D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6475AA3"/>
    <w:multiLevelType w:val="multilevel"/>
    <w:tmpl w:val="DAB2781C"/>
    <w:lvl w:ilvl="0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8326FAD"/>
    <w:multiLevelType w:val="hybridMultilevel"/>
    <w:tmpl w:val="73E4859A"/>
    <w:lvl w:ilvl="0" w:tplc="76865FD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33430654">
    <w:abstractNumId w:val="4"/>
  </w:num>
  <w:num w:numId="2" w16cid:durableId="283579771">
    <w:abstractNumId w:val="2"/>
  </w:num>
  <w:num w:numId="3" w16cid:durableId="67307304">
    <w:abstractNumId w:val="5"/>
  </w:num>
  <w:num w:numId="4" w16cid:durableId="1442456108">
    <w:abstractNumId w:val="8"/>
  </w:num>
  <w:num w:numId="5" w16cid:durableId="1671836383">
    <w:abstractNumId w:val="9"/>
  </w:num>
  <w:num w:numId="6" w16cid:durableId="750085702">
    <w:abstractNumId w:val="11"/>
  </w:num>
  <w:num w:numId="7" w16cid:durableId="1905525953">
    <w:abstractNumId w:val="7"/>
  </w:num>
  <w:num w:numId="8" w16cid:durableId="980504352">
    <w:abstractNumId w:val="14"/>
  </w:num>
  <w:num w:numId="9" w16cid:durableId="1095130864">
    <w:abstractNumId w:val="6"/>
  </w:num>
  <w:num w:numId="10" w16cid:durableId="1435326363">
    <w:abstractNumId w:val="3"/>
  </w:num>
  <w:num w:numId="11" w16cid:durableId="910887797">
    <w:abstractNumId w:val="10"/>
  </w:num>
  <w:num w:numId="12" w16cid:durableId="939340768">
    <w:abstractNumId w:val="0"/>
  </w:num>
  <w:num w:numId="13" w16cid:durableId="425225687">
    <w:abstractNumId w:val="12"/>
  </w:num>
  <w:num w:numId="14" w16cid:durableId="796140742">
    <w:abstractNumId w:val="12"/>
  </w:num>
  <w:num w:numId="15" w16cid:durableId="903293814">
    <w:abstractNumId w:val="13"/>
  </w:num>
  <w:num w:numId="16" w16cid:durableId="36270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D2"/>
    <w:rsid w:val="000119D3"/>
    <w:rsid w:val="00014703"/>
    <w:rsid w:val="0003094C"/>
    <w:rsid w:val="0004288B"/>
    <w:rsid w:val="00063FA3"/>
    <w:rsid w:val="000F0571"/>
    <w:rsid w:val="00103791"/>
    <w:rsid w:val="001131C4"/>
    <w:rsid w:val="00170E74"/>
    <w:rsid w:val="00172A8C"/>
    <w:rsid w:val="001862DF"/>
    <w:rsid w:val="00190CBB"/>
    <w:rsid w:val="001B1749"/>
    <w:rsid w:val="001E0731"/>
    <w:rsid w:val="001E7B46"/>
    <w:rsid w:val="001F47A7"/>
    <w:rsid w:val="0020788E"/>
    <w:rsid w:val="00225906"/>
    <w:rsid w:val="00234517"/>
    <w:rsid w:val="00240270"/>
    <w:rsid w:val="002510F9"/>
    <w:rsid w:val="002C0165"/>
    <w:rsid w:val="002D408D"/>
    <w:rsid w:val="002E4570"/>
    <w:rsid w:val="002F302E"/>
    <w:rsid w:val="00327604"/>
    <w:rsid w:val="00327FE7"/>
    <w:rsid w:val="003338B0"/>
    <w:rsid w:val="00350B6D"/>
    <w:rsid w:val="00363C3B"/>
    <w:rsid w:val="003654C0"/>
    <w:rsid w:val="00380B0D"/>
    <w:rsid w:val="003946C9"/>
    <w:rsid w:val="00404DB9"/>
    <w:rsid w:val="004223B3"/>
    <w:rsid w:val="00450C1D"/>
    <w:rsid w:val="00482800"/>
    <w:rsid w:val="00496BB9"/>
    <w:rsid w:val="00496BFF"/>
    <w:rsid w:val="004C692C"/>
    <w:rsid w:val="00505CE1"/>
    <w:rsid w:val="005205BE"/>
    <w:rsid w:val="00530A4A"/>
    <w:rsid w:val="0054590B"/>
    <w:rsid w:val="00545AC1"/>
    <w:rsid w:val="00567B3D"/>
    <w:rsid w:val="00592223"/>
    <w:rsid w:val="005928C9"/>
    <w:rsid w:val="005A223D"/>
    <w:rsid w:val="005B2A2C"/>
    <w:rsid w:val="005B5552"/>
    <w:rsid w:val="005D46BB"/>
    <w:rsid w:val="005F38C0"/>
    <w:rsid w:val="00610299"/>
    <w:rsid w:val="006133B8"/>
    <w:rsid w:val="006147A3"/>
    <w:rsid w:val="0061562C"/>
    <w:rsid w:val="00620043"/>
    <w:rsid w:val="00627B52"/>
    <w:rsid w:val="006620D3"/>
    <w:rsid w:val="00677A2D"/>
    <w:rsid w:val="00702CD2"/>
    <w:rsid w:val="00714488"/>
    <w:rsid w:val="00750C14"/>
    <w:rsid w:val="00761CA0"/>
    <w:rsid w:val="00766213"/>
    <w:rsid w:val="0078299C"/>
    <w:rsid w:val="007835EF"/>
    <w:rsid w:val="007A2341"/>
    <w:rsid w:val="007B1BF6"/>
    <w:rsid w:val="007B7A57"/>
    <w:rsid w:val="0083462A"/>
    <w:rsid w:val="00840C99"/>
    <w:rsid w:val="008412DC"/>
    <w:rsid w:val="00842058"/>
    <w:rsid w:val="00851DF8"/>
    <w:rsid w:val="00875845"/>
    <w:rsid w:val="00884558"/>
    <w:rsid w:val="008B2F34"/>
    <w:rsid w:val="008D7E90"/>
    <w:rsid w:val="008E249F"/>
    <w:rsid w:val="008E45CB"/>
    <w:rsid w:val="009007A5"/>
    <w:rsid w:val="00900A89"/>
    <w:rsid w:val="0090427A"/>
    <w:rsid w:val="00911341"/>
    <w:rsid w:val="00966871"/>
    <w:rsid w:val="00984DDA"/>
    <w:rsid w:val="00997A0F"/>
    <w:rsid w:val="009C5542"/>
    <w:rsid w:val="009E3A7E"/>
    <w:rsid w:val="00A1246F"/>
    <w:rsid w:val="00A755C4"/>
    <w:rsid w:val="00A92FB0"/>
    <w:rsid w:val="00AA6B90"/>
    <w:rsid w:val="00AD66D1"/>
    <w:rsid w:val="00AF3551"/>
    <w:rsid w:val="00AF4ED3"/>
    <w:rsid w:val="00B1276A"/>
    <w:rsid w:val="00B14CF9"/>
    <w:rsid w:val="00B70094"/>
    <w:rsid w:val="00B866D6"/>
    <w:rsid w:val="00B95511"/>
    <w:rsid w:val="00BA6624"/>
    <w:rsid w:val="00BC2DBD"/>
    <w:rsid w:val="00BC7EB1"/>
    <w:rsid w:val="00BF0A53"/>
    <w:rsid w:val="00C003A2"/>
    <w:rsid w:val="00C17D90"/>
    <w:rsid w:val="00C42761"/>
    <w:rsid w:val="00C65716"/>
    <w:rsid w:val="00C7119B"/>
    <w:rsid w:val="00C83E04"/>
    <w:rsid w:val="00C87482"/>
    <w:rsid w:val="00CB7A94"/>
    <w:rsid w:val="00CC499E"/>
    <w:rsid w:val="00CD38FC"/>
    <w:rsid w:val="00CD7855"/>
    <w:rsid w:val="00CE5734"/>
    <w:rsid w:val="00D001DD"/>
    <w:rsid w:val="00D34078"/>
    <w:rsid w:val="00D62F1A"/>
    <w:rsid w:val="00D6475F"/>
    <w:rsid w:val="00D91DCD"/>
    <w:rsid w:val="00E11F7F"/>
    <w:rsid w:val="00E32E8C"/>
    <w:rsid w:val="00E72C8E"/>
    <w:rsid w:val="00E82E52"/>
    <w:rsid w:val="00EA690B"/>
    <w:rsid w:val="00EB418D"/>
    <w:rsid w:val="00EE63D7"/>
    <w:rsid w:val="00F045C2"/>
    <w:rsid w:val="00F255EE"/>
    <w:rsid w:val="00F404E5"/>
    <w:rsid w:val="00F42C10"/>
    <w:rsid w:val="00F43A1C"/>
    <w:rsid w:val="00F51D73"/>
    <w:rsid w:val="00F53DA0"/>
    <w:rsid w:val="00F85754"/>
    <w:rsid w:val="00FA16E8"/>
    <w:rsid w:val="00FA2C98"/>
    <w:rsid w:val="00FC40A7"/>
    <w:rsid w:val="00FC5735"/>
    <w:rsid w:val="00FC5BA5"/>
    <w:rsid w:val="00FE3D7D"/>
    <w:rsid w:val="00FE7F62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6FA1"/>
  <w15:chartTrackingRefBased/>
  <w15:docId w15:val="{73A06898-63F0-487B-B104-417414EF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B9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Obojanipopis-Isticanje6">
    <w:name w:val="Colorful List Accent 6"/>
    <w:basedOn w:val="Obinatablica"/>
    <w:uiPriority w:val="72"/>
    <w:semiHidden/>
    <w:unhideWhenUsed/>
    <w:rsid w:val="00AA6B9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Zaglavlje">
    <w:name w:val="header"/>
    <w:basedOn w:val="Normal"/>
    <w:link w:val="ZaglavljeChar"/>
    <w:uiPriority w:val="99"/>
    <w:unhideWhenUsed/>
    <w:rsid w:val="00AA6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A6B90"/>
  </w:style>
  <w:style w:type="paragraph" w:styleId="Podnoje">
    <w:name w:val="footer"/>
    <w:basedOn w:val="Normal"/>
    <w:link w:val="PodnojeChar"/>
    <w:uiPriority w:val="99"/>
    <w:unhideWhenUsed/>
    <w:rsid w:val="00AA6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A6B90"/>
  </w:style>
  <w:style w:type="paragraph" w:styleId="Odlomakpopisa">
    <w:name w:val="List Paragraph"/>
    <w:basedOn w:val="Normal"/>
    <w:qFormat/>
    <w:rsid w:val="007B7A57"/>
    <w:pPr>
      <w:ind w:left="720"/>
      <w:contextualSpacing/>
    </w:pPr>
  </w:style>
  <w:style w:type="table" w:styleId="Svijetlatablicareetke1">
    <w:name w:val="Grid Table 1 Light"/>
    <w:basedOn w:val="Obinatablica"/>
    <w:uiPriority w:val="46"/>
    <w:rsid w:val="00997A0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170E74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character" w:styleId="Hiperveza">
    <w:name w:val="Hyperlink"/>
    <w:basedOn w:val="Zadanifontodlomka"/>
    <w:uiPriority w:val="99"/>
    <w:unhideWhenUsed/>
    <w:rsid w:val="00170E74"/>
    <w:rPr>
      <w:color w:val="0000FF"/>
      <w:u w:val="single"/>
    </w:rPr>
  </w:style>
  <w:style w:type="numbering" w:customStyle="1" w:styleId="WWNum1">
    <w:name w:val="WWNum1"/>
    <w:rsid w:val="00170E74"/>
    <w:pPr>
      <w:numPr>
        <w:numId w:val="13"/>
      </w:numPr>
    </w:pPr>
  </w:style>
  <w:style w:type="character" w:styleId="SlijeenaHiperveza">
    <w:name w:val="FollowedHyperlink"/>
    <w:basedOn w:val="Zadanifontodlomka"/>
    <w:uiPriority w:val="99"/>
    <w:semiHidden/>
    <w:unhideWhenUsed/>
    <w:rsid w:val="000F0571"/>
    <w:rPr>
      <w:color w:val="954F72"/>
      <w:u w:val="single"/>
    </w:rPr>
  </w:style>
  <w:style w:type="paragraph" w:customStyle="1" w:styleId="xl65">
    <w:name w:val="xl65"/>
    <w:basedOn w:val="Normal"/>
    <w:rsid w:val="000F0571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rsid w:val="000F0571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rsid w:val="000F0571"/>
    <w:pPr>
      <w:shd w:val="clear" w:color="000000" w:fill="69696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8">
    <w:name w:val="xl68"/>
    <w:basedOn w:val="Normal"/>
    <w:rsid w:val="000F0571"/>
    <w:pPr>
      <w:shd w:val="clear" w:color="000000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69">
    <w:name w:val="xl69"/>
    <w:basedOn w:val="Normal"/>
    <w:rsid w:val="000F0571"/>
    <w:pPr>
      <w:shd w:val="clear" w:color="000000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0">
    <w:name w:val="xl70"/>
    <w:basedOn w:val="Normal"/>
    <w:rsid w:val="000F0571"/>
    <w:pPr>
      <w:shd w:val="clear" w:color="000000" w:fill="3535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1">
    <w:name w:val="xl71"/>
    <w:basedOn w:val="Normal"/>
    <w:rsid w:val="000F0571"/>
    <w:pPr>
      <w:shd w:val="clear" w:color="000000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2">
    <w:name w:val="xl72"/>
    <w:basedOn w:val="Normal"/>
    <w:rsid w:val="000F0571"/>
    <w:pPr>
      <w:shd w:val="clear" w:color="000000" w:fill="C1C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3">
    <w:name w:val="xl73"/>
    <w:basedOn w:val="Normal"/>
    <w:rsid w:val="000F0571"/>
    <w:pPr>
      <w:shd w:val="clear" w:color="000000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0F0571"/>
    <w:pPr>
      <w:shd w:val="clear" w:color="000000" w:fill="E1E1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0F0571"/>
    <w:pPr>
      <w:shd w:val="clear" w:color="000000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0F0571"/>
    <w:pPr>
      <w:shd w:val="clear" w:color="000000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0F0571"/>
    <w:pPr>
      <w:shd w:val="clear" w:color="000000" w:fill="A3C9B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0F0571"/>
    <w:pPr>
      <w:shd w:val="clear" w:color="000000" w:fill="A3C9B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0F0571"/>
    <w:pPr>
      <w:shd w:val="clear" w:color="000000" w:fill="A3C9B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0F0571"/>
    <w:pPr>
      <w:shd w:val="clear" w:color="000000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0F0571"/>
    <w:pPr>
      <w:shd w:val="clear" w:color="000000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0F0571"/>
    <w:pPr>
      <w:shd w:val="clear" w:color="000000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0F0571"/>
    <w:pPr>
      <w:shd w:val="clear" w:color="000000" w:fill="B9E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0F0571"/>
    <w:pPr>
      <w:shd w:val="clear" w:color="000000" w:fill="B9E9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rsid w:val="000F0571"/>
    <w:pPr>
      <w:shd w:val="clear" w:color="000000" w:fill="B9E9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6">
    <w:name w:val="xl86"/>
    <w:basedOn w:val="Normal"/>
    <w:rsid w:val="000F0571"/>
    <w:pPr>
      <w:shd w:val="clear" w:color="000000" w:fill="FFE0C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7">
    <w:name w:val="xl87"/>
    <w:basedOn w:val="Normal"/>
    <w:rsid w:val="000F0571"/>
    <w:pPr>
      <w:shd w:val="clear" w:color="000000" w:fill="FFE0C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8">
    <w:name w:val="xl88"/>
    <w:basedOn w:val="Normal"/>
    <w:rsid w:val="000F0571"/>
    <w:pPr>
      <w:shd w:val="clear" w:color="000000" w:fill="FFE0C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9">
    <w:name w:val="xl89"/>
    <w:basedOn w:val="Normal"/>
    <w:rsid w:val="000F057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0F057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1">
    <w:name w:val="xl91"/>
    <w:basedOn w:val="Normal"/>
    <w:rsid w:val="000F057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2">
    <w:name w:val="xl92"/>
    <w:basedOn w:val="Normal"/>
    <w:rsid w:val="000F057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3">
    <w:name w:val="xl93"/>
    <w:basedOn w:val="Normal"/>
    <w:rsid w:val="000F05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4">
    <w:name w:val="xl94"/>
    <w:basedOn w:val="Normal"/>
    <w:rsid w:val="000F057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5">
    <w:name w:val="xl95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6">
    <w:name w:val="xl96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7">
    <w:name w:val="xl97"/>
    <w:basedOn w:val="Normal"/>
    <w:rsid w:val="000F057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98">
    <w:name w:val="xl98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9">
    <w:name w:val="xl99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00">
    <w:name w:val="xl100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01">
    <w:name w:val="xl101"/>
    <w:basedOn w:val="Normal"/>
    <w:rsid w:val="000F0571"/>
    <w:pPr>
      <w:shd w:val="clear" w:color="000000" w:fill="B9E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2">
    <w:name w:val="xl102"/>
    <w:basedOn w:val="Normal"/>
    <w:rsid w:val="000F0571"/>
    <w:pPr>
      <w:shd w:val="clear" w:color="000000" w:fill="E1E1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4">
    <w:name w:val="xl104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5">
    <w:name w:val="xl105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06">
    <w:name w:val="xl106"/>
    <w:basedOn w:val="Normal"/>
    <w:rsid w:val="000F0571"/>
    <w:pPr>
      <w:shd w:val="clear" w:color="000000" w:fill="B9E9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07">
    <w:name w:val="xl107"/>
    <w:basedOn w:val="Normal"/>
    <w:rsid w:val="000F0571"/>
    <w:pPr>
      <w:shd w:val="clear" w:color="000000" w:fill="FFE0C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08">
    <w:name w:val="xl108"/>
    <w:basedOn w:val="Normal"/>
    <w:rsid w:val="000F057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09">
    <w:name w:val="xl109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10">
    <w:name w:val="xl110"/>
    <w:basedOn w:val="Normal"/>
    <w:rsid w:val="000F0571"/>
    <w:pPr>
      <w:shd w:val="clear" w:color="000000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11">
    <w:name w:val="xl111"/>
    <w:basedOn w:val="Normal"/>
    <w:rsid w:val="000F0571"/>
    <w:pPr>
      <w:shd w:val="clear" w:color="000000" w:fill="69696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12">
    <w:name w:val="xl112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3">
    <w:name w:val="xl113"/>
    <w:basedOn w:val="Normal"/>
    <w:rsid w:val="000F0571"/>
    <w:pPr>
      <w:shd w:val="clear" w:color="000000" w:fill="69696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15">
    <w:name w:val="xl115"/>
    <w:basedOn w:val="Normal"/>
    <w:rsid w:val="000F0571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16">
    <w:name w:val="xl116"/>
    <w:basedOn w:val="Normal"/>
    <w:rsid w:val="000F0571"/>
    <w:pPr>
      <w:shd w:val="clear" w:color="000000" w:fill="3535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17">
    <w:name w:val="xl117"/>
    <w:basedOn w:val="Normal"/>
    <w:rsid w:val="000F0571"/>
    <w:pPr>
      <w:shd w:val="clear" w:color="000000" w:fill="C1C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18">
    <w:name w:val="xl118"/>
    <w:basedOn w:val="Normal"/>
    <w:rsid w:val="000F0571"/>
    <w:pPr>
      <w:shd w:val="clear" w:color="000000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19">
    <w:name w:val="xl119"/>
    <w:basedOn w:val="Normal"/>
    <w:rsid w:val="000F0571"/>
    <w:pPr>
      <w:shd w:val="clear" w:color="000000" w:fill="A3C9B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20">
    <w:name w:val="xl120"/>
    <w:basedOn w:val="Normal"/>
    <w:rsid w:val="000F0571"/>
    <w:pPr>
      <w:shd w:val="clear" w:color="000000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21">
    <w:name w:val="xl121"/>
    <w:basedOn w:val="Normal"/>
    <w:rsid w:val="000F0571"/>
    <w:pPr>
      <w:shd w:val="clear" w:color="000000" w:fill="B9E9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22">
    <w:name w:val="xl122"/>
    <w:basedOn w:val="Normal"/>
    <w:rsid w:val="000F0571"/>
    <w:pPr>
      <w:shd w:val="clear" w:color="000000" w:fill="FFE0C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23">
    <w:name w:val="xl123"/>
    <w:basedOn w:val="Normal"/>
    <w:rsid w:val="000F057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24">
    <w:name w:val="xl124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25">
    <w:name w:val="xl125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6">
    <w:name w:val="xl126"/>
    <w:basedOn w:val="Normal"/>
    <w:rsid w:val="000F057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27">
    <w:name w:val="xl127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28">
    <w:name w:val="xl128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9">
    <w:name w:val="xl129"/>
    <w:basedOn w:val="Normal"/>
    <w:rsid w:val="000F0571"/>
    <w:pPr>
      <w:shd w:val="clear" w:color="000000" w:fill="69696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0">
    <w:name w:val="xl130"/>
    <w:basedOn w:val="Normal"/>
    <w:rsid w:val="000F057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31">
    <w:name w:val="xl131"/>
    <w:basedOn w:val="Normal"/>
    <w:rsid w:val="000F057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32">
    <w:name w:val="xl132"/>
    <w:basedOn w:val="Normal"/>
    <w:rsid w:val="000F0571"/>
    <w:pP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33">
    <w:name w:val="xl133"/>
    <w:basedOn w:val="Normal"/>
    <w:rsid w:val="000F0571"/>
    <w:pP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34">
    <w:name w:val="xl134"/>
    <w:basedOn w:val="Normal"/>
    <w:rsid w:val="000F0571"/>
    <w:pP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35">
    <w:name w:val="xl135"/>
    <w:basedOn w:val="Normal"/>
    <w:rsid w:val="000F0571"/>
    <w:pP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jiznice.nsk.hr/gun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A9EF7-D581-49B3-93F8-CF9CD700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2609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Narodna knjižnica Gunja</dc:creator>
  <cp:keywords/>
  <dc:description/>
  <cp:lastModifiedBy>Narodna knjižnica Gunja</cp:lastModifiedBy>
  <cp:revision>5</cp:revision>
  <cp:lastPrinted>2021-12-22T12:19:00Z</cp:lastPrinted>
  <dcterms:created xsi:type="dcterms:W3CDTF">2023-10-17T10:09:00Z</dcterms:created>
  <dcterms:modified xsi:type="dcterms:W3CDTF">2023-10-17T10:16:00Z</dcterms:modified>
</cp:coreProperties>
</file>